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28022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Grau do adjetivo II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bookmarkStart w:id="0" w:name="_GoBack"/>
      <w:bookmarkEnd w:id="0"/>
    </w:p>
    <w:p w:rsidR="002B07F9" w:rsidRDefault="00F75CF9" w:rsidP="0032794A">
      <w:pPr>
        <w:pStyle w:val="03Texto-IEIJ"/>
        <w:numPr>
          <w:ilvl w:val="0"/>
          <w:numId w:val="0"/>
        </w:numPr>
        <w:ind w:left="360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8"/>
      </w:tblGrid>
      <w:tr w:rsidR="007A1FBD" w:rsidTr="007A1FBD">
        <w:tc>
          <w:tcPr>
            <w:tcW w:w="9628" w:type="dxa"/>
            <w:tcBorders>
              <w:top w:val="threeDEngrave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</w:tcPr>
          <w:p w:rsidR="007A1FBD" w:rsidRPr="002A0390" w:rsidRDefault="002A0390" w:rsidP="002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2A0390">
              <w:rPr>
                <w:sz w:val="28"/>
                <w:szCs w:val="28"/>
              </w:rPr>
              <w:t>O grau comparativo do adjetivo pode ser:</w:t>
            </w:r>
          </w:p>
          <w:p w:rsidR="002A0390" w:rsidRDefault="002A0390" w:rsidP="002A0390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b/>
                <w:sz w:val="28"/>
                <w:szCs w:val="28"/>
              </w:rPr>
              <w:t xml:space="preserve"> de superioridade:</w:t>
            </w:r>
            <w:r>
              <w:rPr>
                <w:sz w:val="28"/>
                <w:szCs w:val="28"/>
              </w:rPr>
              <w:t xml:space="preserve"> mais </w:t>
            </w:r>
            <w:proofErr w:type="gramStart"/>
            <w:r>
              <w:rPr>
                <w:sz w:val="28"/>
                <w:szCs w:val="28"/>
              </w:rPr>
              <w:t>+</w:t>
            </w:r>
            <w:proofErr w:type="gramEnd"/>
            <w:r>
              <w:rPr>
                <w:sz w:val="28"/>
                <w:szCs w:val="28"/>
              </w:rPr>
              <w:t xml:space="preserve"> adjetivo + que / mais + adjetivo + do que </w:t>
            </w:r>
          </w:p>
          <w:p w:rsidR="002A0390" w:rsidRDefault="002A0390" w:rsidP="002A0390">
            <w:pPr>
              <w:rPr>
                <w:sz w:val="28"/>
                <w:szCs w:val="28"/>
              </w:rPr>
            </w:pPr>
          </w:p>
          <w:p w:rsidR="002A0390" w:rsidRDefault="002A0390" w:rsidP="002A0390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b/>
                <w:sz w:val="28"/>
                <w:szCs w:val="28"/>
              </w:rPr>
              <w:t xml:space="preserve"> de inferioridade: </w:t>
            </w:r>
            <w:r>
              <w:rPr>
                <w:sz w:val="28"/>
                <w:szCs w:val="28"/>
              </w:rPr>
              <w:t xml:space="preserve">menos </w:t>
            </w:r>
            <w:proofErr w:type="gramStart"/>
            <w:r>
              <w:rPr>
                <w:sz w:val="28"/>
                <w:szCs w:val="28"/>
              </w:rPr>
              <w:t>+</w:t>
            </w:r>
            <w:proofErr w:type="gramEnd"/>
            <w:r>
              <w:rPr>
                <w:sz w:val="28"/>
                <w:szCs w:val="28"/>
              </w:rPr>
              <w:t xml:space="preserve"> adjetivo + que / menos + adjetivo + do que</w:t>
            </w:r>
          </w:p>
          <w:p w:rsidR="002A0390" w:rsidRDefault="002A0390" w:rsidP="002A0390">
            <w:pPr>
              <w:rPr>
                <w:sz w:val="28"/>
                <w:szCs w:val="28"/>
              </w:rPr>
            </w:pPr>
          </w:p>
          <w:p w:rsidR="002A0390" w:rsidRDefault="002A0390" w:rsidP="002A0390"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de igualdade: </w:t>
            </w:r>
            <w:r>
              <w:rPr>
                <w:sz w:val="28"/>
                <w:szCs w:val="28"/>
              </w:rPr>
              <w:t xml:space="preserve">tão </w:t>
            </w:r>
            <w:proofErr w:type="gramStart"/>
            <w:r>
              <w:rPr>
                <w:sz w:val="28"/>
                <w:szCs w:val="28"/>
              </w:rPr>
              <w:t>+</w:t>
            </w:r>
            <w:proofErr w:type="gramEnd"/>
            <w:r>
              <w:rPr>
                <w:sz w:val="28"/>
                <w:szCs w:val="28"/>
              </w:rPr>
              <w:t xml:space="preserve"> adjetivo + quanto / tão + adjetivo + como</w:t>
            </w:r>
          </w:p>
          <w:p w:rsidR="002A0390" w:rsidRDefault="002A0390" w:rsidP="0032794A">
            <w:pPr>
              <w:pStyle w:val="03Texto-IEIJ"/>
              <w:numPr>
                <w:ilvl w:val="0"/>
                <w:numId w:val="0"/>
              </w:numPr>
              <w:ind w:left="360"/>
            </w:pPr>
          </w:p>
        </w:tc>
      </w:tr>
    </w:tbl>
    <w:p w:rsidR="007A1FBD" w:rsidRDefault="007A1FBD" w:rsidP="0032794A">
      <w:pPr>
        <w:pStyle w:val="03Texto-IEIJ"/>
        <w:numPr>
          <w:ilvl w:val="0"/>
          <w:numId w:val="0"/>
        </w:numPr>
        <w:ind w:left="720"/>
      </w:pPr>
    </w:p>
    <w:p w:rsidR="002B07F9" w:rsidRDefault="0032794A" w:rsidP="0032794A">
      <w:pPr>
        <w:pStyle w:val="PargrafodaLista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32794A">
        <w:rPr>
          <w:sz w:val="28"/>
          <w:szCs w:val="28"/>
        </w:rPr>
        <w:t>Dê a sua opinião sobre alguns assuntos. Use os adjetivos destacados no grau comparativo de igualdade, de superioridade ou de inferioridade. Observe o exemplo.</w:t>
      </w:r>
    </w:p>
    <w:p w:rsidR="0032794A" w:rsidRDefault="0032794A" w:rsidP="0032794A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8"/>
      </w:tblGrid>
      <w:tr w:rsidR="0032794A" w:rsidTr="00C30873">
        <w:tc>
          <w:tcPr>
            <w:tcW w:w="9628" w:type="dxa"/>
            <w:tcBorders>
              <w:top w:val="threeDEngrave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32794A" w:rsidRDefault="00C30873" w:rsidP="00C3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 é mais </w:t>
            </w:r>
            <w:r w:rsidRPr="00C30873">
              <w:rPr>
                <w:b/>
                <w:sz w:val="28"/>
                <w:szCs w:val="28"/>
              </w:rPr>
              <w:t>gostoso</w:t>
            </w:r>
            <w:r>
              <w:rPr>
                <w:sz w:val="28"/>
                <w:szCs w:val="28"/>
              </w:rPr>
              <w:t>, sorvete ou chocolate?</w:t>
            </w:r>
          </w:p>
          <w:p w:rsidR="00C30873" w:rsidRDefault="00C30873" w:rsidP="00C30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Sorvete é </w:t>
            </w:r>
            <w:r w:rsidRPr="00C30873">
              <w:rPr>
                <w:b/>
                <w:sz w:val="28"/>
                <w:szCs w:val="28"/>
              </w:rPr>
              <w:t>tão</w:t>
            </w:r>
            <w:r>
              <w:rPr>
                <w:sz w:val="28"/>
                <w:szCs w:val="28"/>
              </w:rPr>
              <w:t xml:space="preserve"> gostoso </w:t>
            </w:r>
            <w:r w:rsidRPr="00C30873">
              <w:rPr>
                <w:b/>
                <w:sz w:val="28"/>
                <w:szCs w:val="28"/>
              </w:rPr>
              <w:t>quanto</w:t>
            </w:r>
            <w:r>
              <w:rPr>
                <w:sz w:val="28"/>
                <w:szCs w:val="28"/>
              </w:rPr>
              <w:t xml:space="preserve"> chocolate.</w:t>
            </w:r>
          </w:p>
        </w:tc>
      </w:tr>
    </w:tbl>
    <w:p w:rsidR="0032794A" w:rsidRDefault="0032794A" w:rsidP="0032794A">
      <w:pPr>
        <w:jc w:val="both"/>
        <w:rPr>
          <w:sz w:val="28"/>
          <w:szCs w:val="28"/>
        </w:rPr>
      </w:pPr>
    </w:p>
    <w:p w:rsidR="00413CF7" w:rsidRDefault="00413CF7" w:rsidP="00413CF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é mais </w:t>
      </w:r>
      <w:r w:rsidRPr="00CD32A2">
        <w:rPr>
          <w:b/>
          <w:sz w:val="28"/>
          <w:szCs w:val="28"/>
        </w:rPr>
        <w:t>divertido</w:t>
      </w:r>
      <w:r>
        <w:rPr>
          <w:sz w:val="28"/>
          <w:szCs w:val="28"/>
        </w:rPr>
        <w:t>, ir ao cinema ou ao parque de diversões?</w:t>
      </w:r>
    </w:p>
    <w:p w:rsidR="00413CF7" w:rsidRDefault="00413CF7" w:rsidP="00413CF7">
      <w:pPr>
        <w:pStyle w:val="PargrafodaLista"/>
        <w:jc w:val="both"/>
        <w:rPr>
          <w:sz w:val="28"/>
          <w:szCs w:val="28"/>
        </w:rPr>
      </w:pPr>
    </w:p>
    <w:p w:rsidR="00413CF7" w:rsidRDefault="00413CF7" w:rsidP="00413CF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é mais </w:t>
      </w:r>
      <w:r w:rsidRPr="00CD32A2">
        <w:rPr>
          <w:b/>
          <w:sz w:val="28"/>
          <w:szCs w:val="28"/>
        </w:rPr>
        <w:t>fácil</w:t>
      </w:r>
      <w:r>
        <w:rPr>
          <w:sz w:val="28"/>
          <w:szCs w:val="28"/>
        </w:rPr>
        <w:t>, Língua Portuguesa ou Matemática?</w:t>
      </w:r>
    </w:p>
    <w:p w:rsidR="00413CF7" w:rsidRPr="00413CF7" w:rsidRDefault="00413CF7" w:rsidP="00413CF7">
      <w:pPr>
        <w:pStyle w:val="PargrafodaLista"/>
        <w:rPr>
          <w:sz w:val="28"/>
          <w:szCs w:val="28"/>
        </w:rPr>
      </w:pPr>
    </w:p>
    <w:p w:rsidR="00413CF7" w:rsidRPr="00413CF7" w:rsidRDefault="00413CF7" w:rsidP="00413CF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413CF7">
        <w:rPr>
          <w:sz w:val="28"/>
          <w:szCs w:val="28"/>
        </w:rPr>
        <w:t xml:space="preserve">O que é mais </w:t>
      </w:r>
      <w:r w:rsidRPr="00CD32A2">
        <w:rPr>
          <w:b/>
          <w:sz w:val="28"/>
          <w:szCs w:val="28"/>
        </w:rPr>
        <w:t>saudável</w:t>
      </w:r>
      <w:r w:rsidRPr="00413CF7">
        <w:rPr>
          <w:sz w:val="28"/>
          <w:szCs w:val="28"/>
        </w:rPr>
        <w:t>, tomar água ou refrigerante?</w:t>
      </w:r>
    </w:p>
    <w:p w:rsidR="00413CF7" w:rsidRDefault="00413CF7" w:rsidP="00413CF7">
      <w:pPr>
        <w:pStyle w:val="PargrafodaLista"/>
        <w:jc w:val="both"/>
        <w:rPr>
          <w:sz w:val="28"/>
          <w:szCs w:val="28"/>
        </w:rPr>
      </w:pPr>
    </w:p>
    <w:p w:rsidR="00413CF7" w:rsidRPr="00413CF7" w:rsidRDefault="00413CF7" w:rsidP="00413CF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413CF7">
        <w:rPr>
          <w:sz w:val="28"/>
          <w:szCs w:val="28"/>
        </w:rPr>
        <w:t xml:space="preserve">O que é mais </w:t>
      </w:r>
      <w:r w:rsidRPr="00CD32A2">
        <w:rPr>
          <w:b/>
          <w:sz w:val="28"/>
          <w:szCs w:val="28"/>
        </w:rPr>
        <w:t>bonito</w:t>
      </w:r>
      <w:r w:rsidRPr="00413CF7">
        <w:rPr>
          <w:sz w:val="28"/>
          <w:szCs w:val="28"/>
        </w:rPr>
        <w:t>, cabelo curto ou comprido?</w:t>
      </w:r>
    </w:p>
    <w:p w:rsidR="00413CF7" w:rsidRDefault="00413CF7" w:rsidP="00413CF7">
      <w:pPr>
        <w:pStyle w:val="PargrafodaLista"/>
        <w:jc w:val="both"/>
        <w:rPr>
          <w:sz w:val="28"/>
          <w:szCs w:val="28"/>
        </w:rPr>
      </w:pPr>
    </w:p>
    <w:p w:rsidR="00413CF7" w:rsidRDefault="00413CF7" w:rsidP="00413CF7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é mais </w:t>
      </w:r>
      <w:r w:rsidRPr="00CD32A2">
        <w:rPr>
          <w:b/>
          <w:sz w:val="28"/>
          <w:szCs w:val="28"/>
        </w:rPr>
        <w:t>importante</w:t>
      </w:r>
      <w:r>
        <w:rPr>
          <w:sz w:val="28"/>
          <w:szCs w:val="28"/>
        </w:rPr>
        <w:t xml:space="preserve"> preservar: a Mata Atlântica ou a Floresta Amazônica? </w:t>
      </w:r>
    </w:p>
    <w:p w:rsidR="00413CF7" w:rsidRDefault="00413CF7" w:rsidP="00413CF7">
      <w:pPr>
        <w:pStyle w:val="PargrafodaLista"/>
        <w:jc w:val="both"/>
        <w:rPr>
          <w:sz w:val="28"/>
          <w:szCs w:val="28"/>
        </w:rPr>
      </w:pPr>
    </w:p>
    <w:p w:rsidR="00413CF7" w:rsidRDefault="00413CF7" w:rsidP="00413CF7">
      <w:pPr>
        <w:pStyle w:val="PargrafodaLista"/>
        <w:jc w:val="both"/>
        <w:rPr>
          <w:sz w:val="28"/>
          <w:szCs w:val="28"/>
        </w:rPr>
      </w:pPr>
    </w:p>
    <w:p w:rsidR="00CD32A2" w:rsidRDefault="00CD32A2" w:rsidP="00CD32A2">
      <w:pPr>
        <w:ind w:firstLine="360"/>
        <w:jc w:val="both"/>
        <w:rPr>
          <w:sz w:val="28"/>
          <w:szCs w:val="28"/>
        </w:rPr>
      </w:pPr>
      <w:r w:rsidRPr="00CD32A2">
        <w:rPr>
          <w:sz w:val="28"/>
          <w:szCs w:val="28"/>
        </w:rPr>
        <w:t xml:space="preserve">Os adjetivos </w:t>
      </w:r>
      <w:r w:rsidRPr="00CD32A2">
        <w:rPr>
          <w:b/>
          <w:sz w:val="28"/>
          <w:szCs w:val="28"/>
        </w:rPr>
        <w:t>bom, mau, grande</w:t>
      </w:r>
      <w:r w:rsidRPr="00CD32A2">
        <w:rPr>
          <w:sz w:val="28"/>
          <w:szCs w:val="28"/>
        </w:rPr>
        <w:t xml:space="preserve"> e</w:t>
      </w:r>
      <w:r w:rsidRPr="00CD32A2">
        <w:rPr>
          <w:b/>
          <w:sz w:val="28"/>
          <w:szCs w:val="28"/>
        </w:rPr>
        <w:t xml:space="preserve"> pequeno</w:t>
      </w:r>
      <w:r w:rsidRPr="00CD32A2">
        <w:rPr>
          <w:sz w:val="28"/>
          <w:szCs w:val="28"/>
        </w:rPr>
        <w:t xml:space="preserve"> apresentam formas especiais para o comparativo de superioridade. Veja:</w:t>
      </w:r>
    </w:p>
    <w:p w:rsidR="00C07193" w:rsidRDefault="00C07193" w:rsidP="00CD32A2">
      <w:pPr>
        <w:ind w:firstLine="360"/>
        <w:jc w:val="both"/>
        <w:rPr>
          <w:sz w:val="28"/>
          <w:szCs w:val="28"/>
        </w:rPr>
      </w:pPr>
    </w:p>
    <w:p w:rsidR="00C07193" w:rsidRDefault="00C07193" w:rsidP="00CD32A2">
      <w:pPr>
        <w:ind w:firstLine="360"/>
        <w:jc w:val="both"/>
        <w:rPr>
          <w:sz w:val="28"/>
          <w:szCs w:val="28"/>
        </w:rPr>
      </w:pPr>
    </w:p>
    <w:p w:rsidR="00C07193" w:rsidRDefault="00C07193" w:rsidP="00CD32A2">
      <w:pPr>
        <w:ind w:firstLine="36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0"/>
        <w:gridCol w:w="2410"/>
        <w:gridCol w:w="4758"/>
      </w:tblGrid>
      <w:tr w:rsidR="006324CF" w:rsidTr="006324CF">
        <w:tc>
          <w:tcPr>
            <w:tcW w:w="2350" w:type="dxa"/>
            <w:tcBorders>
              <w:top w:val="threeDEngrave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Pr="006324CF" w:rsidRDefault="006324CF" w:rsidP="006324CF">
            <w:pPr>
              <w:jc w:val="center"/>
              <w:rPr>
                <w:b/>
                <w:color w:val="B10580"/>
                <w:sz w:val="28"/>
                <w:szCs w:val="28"/>
              </w:rPr>
            </w:pPr>
            <w:r w:rsidRPr="006324CF">
              <w:rPr>
                <w:b/>
                <w:color w:val="B10580"/>
                <w:sz w:val="28"/>
                <w:szCs w:val="28"/>
              </w:rPr>
              <w:lastRenderedPageBreak/>
              <w:t>ADJETIVO</w:t>
            </w:r>
          </w:p>
        </w:tc>
        <w:tc>
          <w:tcPr>
            <w:tcW w:w="2410" w:type="dxa"/>
            <w:tcBorders>
              <w:top w:val="threeDEngrave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Pr="006324CF" w:rsidRDefault="006324CF" w:rsidP="006324CF">
            <w:pPr>
              <w:spacing w:before="0"/>
              <w:jc w:val="center"/>
              <w:rPr>
                <w:b/>
                <w:color w:val="B10580"/>
                <w:sz w:val="28"/>
                <w:szCs w:val="28"/>
              </w:rPr>
            </w:pPr>
            <w:r w:rsidRPr="006324CF">
              <w:rPr>
                <w:b/>
                <w:color w:val="B10580"/>
                <w:sz w:val="28"/>
                <w:szCs w:val="28"/>
              </w:rPr>
              <w:t>COMPARATIVO DE SUPERIORIDADE</w:t>
            </w:r>
          </w:p>
        </w:tc>
        <w:tc>
          <w:tcPr>
            <w:tcW w:w="4758" w:type="dxa"/>
            <w:tcBorders>
              <w:top w:val="threeDEngrave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Pr="006324CF" w:rsidRDefault="006324CF" w:rsidP="006324CF">
            <w:pPr>
              <w:jc w:val="center"/>
              <w:rPr>
                <w:b/>
                <w:color w:val="B10580"/>
                <w:sz w:val="28"/>
                <w:szCs w:val="28"/>
              </w:rPr>
            </w:pPr>
            <w:r w:rsidRPr="006324CF">
              <w:rPr>
                <w:b/>
                <w:color w:val="B10580"/>
                <w:sz w:val="28"/>
                <w:szCs w:val="28"/>
              </w:rPr>
              <w:t>EXEMPLOS</w:t>
            </w:r>
          </w:p>
        </w:tc>
      </w:tr>
      <w:tr w:rsidR="006324CF" w:rsidTr="006324CF">
        <w:tc>
          <w:tcPr>
            <w:tcW w:w="2350" w:type="dxa"/>
            <w:tcBorders>
              <w:top w:val="threeDEmboss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Bom</w:t>
            </w:r>
          </w:p>
        </w:tc>
        <w:tc>
          <w:tcPr>
            <w:tcW w:w="2410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Melhor</w:t>
            </w:r>
          </w:p>
        </w:tc>
        <w:tc>
          <w:tcPr>
            <w:tcW w:w="4758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</w:tcPr>
          <w:p w:rsidR="00C07193" w:rsidRDefault="006324CF" w:rsidP="00CD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 rádio é </w:t>
            </w:r>
            <w:r w:rsidRPr="006324CF">
              <w:rPr>
                <w:b/>
                <w:sz w:val="28"/>
                <w:szCs w:val="28"/>
              </w:rPr>
              <w:t>melhor que</w:t>
            </w:r>
            <w:r>
              <w:rPr>
                <w:sz w:val="28"/>
                <w:szCs w:val="28"/>
              </w:rPr>
              <w:t xml:space="preserve"> aquela.</w:t>
            </w:r>
          </w:p>
        </w:tc>
      </w:tr>
      <w:tr w:rsidR="006324CF" w:rsidTr="006324CF">
        <w:tc>
          <w:tcPr>
            <w:tcW w:w="2350" w:type="dxa"/>
            <w:tcBorders>
              <w:top w:val="threeDEmboss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</w:t>
            </w:r>
          </w:p>
        </w:tc>
        <w:tc>
          <w:tcPr>
            <w:tcW w:w="2410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Pior</w:t>
            </w:r>
          </w:p>
        </w:tc>
        <w:tc>
          <w:tcPr>
            <w:tcW w:w="4758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</w:tcPr>
          <w:p w:rsidR="00C07193" w:rsidRDefault="006324CF" w:rsidP="00CD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 programa está </w:t>
            </w:r>
            <w:r w:rsidRPr="006324CF">
              <w:rPr>
                <w:b/>
                <w:sz w:val="28"/>
                <w:szCs w:val="28"/>
              </w:rPr>
              <w:t>pior que</w:t>
            </w:r>
            <w:r>
              <w:rPr>
                <w:sz w:val="28"/>
                <w:szCs w:val="28"/>
              </w:rPr>
              <w:t xml:space="preserve"> o de ontem.</w:t>
            </w:r>
          </w:p>
        </w:tc>
      </w:tr>
      <w:tr w:rsidR="006324CF" w:rsidTr="006324CF">
        <w:tc>
          <w:tcPr>
            <w:tcW w:w="2350" w:type="dxa"/>
            <w:tcBorders>
              <w:top w:val="threeDEmboss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Grande</w:t>
            </w:r>
          </w:p>
        </w:tc>
        <w:tc>
          <w:tcPr>
            <w:tcW w:w="2410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Maior</w:t>
            </w:r>
          </w:p>
        </w:tc>
        <w:tc>
          <w:tcPr>
            <w:tcW w:w="4758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</w:tcPr>
          <w:p w:rsidR="00C07193" w:rsidRDefault="006324CF" w:rsidP="00CD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Larissa é </w:t>
            </w:r>
            <w:r w:rsidRPr="006324CF">
              <w:rPr>
                <w:b/>
                <w:sz w:val="28"/>
                <w:szCs w:val="28"/>
              </w:rPr>
              <w:t xml:space="preserve">maior que </w:t>
            </w:r>
            <w:r>
              <w:rPr>
                <w:sz w:val="28"/>
                <w:szCs w:val="28"/>
              </w:rPr>
              <w:t>Julia.</w:t>
            </w:r>
          </w:p>
        </w:tc>
      </w:tr>
      <w:tr w:rsidR="006324CF" w:rsidTr="006324CF">
        <w:tc>
          <w:tcPr>
            <w:tcW w:w="2350" w:type="dxa"/>
            <w:tcBorders>
              <w:top w:val="threeDEmboss" w:sz="24" w:space="0" w:color="2E74B5" w:themeColor="accent1" w:themeShade="BF"/>
              <w:left w:val="threeDEngrave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Pequeno</w:t>
            </w:r>
          </w:p>
        </w:tc>
        <w:tc>
          <w:tcPr>
            <w:tcW w:w="2410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  <w:vAlign w:val="center"/>
          </w:tcPr>
          <w:p w:rsidR="00C07193" w:rsidRDefault="006324CF" w:rsidP="0063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Menor</w:t>
            </w:r>
          </w:p>
        </w:tc>
        <w:tc>
          <w:tcPr>
            <w:tcW w:w="4758" w:type="dxa"/>
            <w:tcBorders>
              <w:top w:val="threeDEmboss" w:sz="24" w:space="0" w:color="2E74B5" w:themeColor="accent1" w:themeShade="BF"/>
              <w:left w:val="threeDEmboss" w:sz="24" w:space="0" w:color="2E74B5" w:themeColor="accent1" w:themeShade="BF"/>
              <w:bottom w:val="threeDEmboss" w:sz="24" w:space="0" w:color="2E74B5" w:themeColor="accent1" w:themeShade="BF"/>
              <w:right w:val="threeDEmboss" w:sz="24" w:space="0" w:color="2E74B5" w:themeColor="accent1" w:themeShade="BF"/>
            </w:tcBorders>
          </w:tcPr>
          <w:p w:rsidR="00C07193" w:rsidRDefault="006324CF" w:rsidP="00CD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Vivi é </w:t>
            </w:r>
            <w:r w:rsidRPr="006324CF">
              <w:rPr>
                <w:b/>
                <w:sz w:val="28"/>
                <w:szCs w:val="28"/>
              </w:rPr>
              <w:t>menor que</w:t>
            </w:r>
            <w:r>
              <w:rPr>
                <w:sz w:val="28"/>
                <w:szCs w:val="28"/>
              </w:rPr>
              <w:t xml:space="preserve"> Alessandra.</w:t>
            </w:r>
          </w:p>
        </w:tc>
      </w:tr>
    </w:tbl>
    <w:p w:rsidR="00C07193" w:rsidRDefault="00C07193" w:rsidP="00CD32A2">
      <w:pPr>
        <w:ind w:firstLine="360"/>
        <w:jc w:val="both"/>
        <w:rPr>
          <w:sz w:val="28"/>
          <w:szCs w:val="28"/>
        </w:rPr>
      </w:pPr>
    </w:p>
    <w:p w:rsidR="001D72F8" w:rsidRDefault="001D72F8" w:rsidP="001D72F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Continue dando a sua opinião, escrevendo frases no grau comparativo.</w:t>
      </w:r>
    </w:p>
    <w:p w:rsidR="001D72F8" w:rsidRDefault="001D72F8" w:rsidP="001D72F8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2811" w:type="dxa"/>
        <w:tblLook w:val="04A0" w:firstRow="1" w:lastRow="0" w:firstColumn="1" w:lastColumn="0" w:noHBand="0" w:noVBand="1"/>
      </w:tblPr>
      <w:tblGrid>
        <w:gridCol w:w="2773"/>
      </w:tblGrid>
      <w:tr w:rsidR="001D72F8" w:rsidTr="00DE6A7A">
        <w:trPr>
          <w:trHeight w:val="1408"/>
        </w:trPr>
        <w:tc>
          <w:tcPr>
            <w:tcW w:w="2773" w:type="dxa"/>
            <w:tcBorders>
              <w:top w:val="threeDEngrave" w:sz="24" w:space="0" w:color="B10580"/>
              <w:left w:val="threeDEngrave" w:sz="24" w:space="0" w:color="B10580"/>
              <w:bottom w:val="threeDEmboss" w:sz="24" w:space="0" w:color="B10580"/>
              <w:right w:val="threeDEmboss" w:sz="24" w:space="0" w:color="B10580"/>
            </w:tcBorders>
            <w:vAlign w:val="center"/>
          </w:tcPr>
          <w:p w:rsidR="001D72F8" w:rsidRDefault="00DE6A7A" w:rsidP="00DE6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é </w:t>
            </w:r>
            <w:r w:rsidRPr="00DE6A7A">
              <w:rPr>
                <w:b/>
                <w:sz w:val="28"/>
                <w:szCs w:val="28"/>
              </w:rPr>
              <w:t>melhor</w:t>
            </w:r>
            <w:r>
              <w:rPr>
                <w:sz w:val="28"/>
                <w:szCs w:val="28"/>
              </w:rPr>
              <w:t>?</w:t>
            </w:r>
          </w:p>
          <w:p w:rsidR="00DE6A7A" w:rsidRDefault="00DE6A7A" w:rsidP="00DE6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é </w:t>
            </w:r>
            <w:r w:rsidRPr="00DE6A7A">
              <w:rPr>
                <w:b/>
                <w:sz w:val="28"/>
                <w:szCs w:val="28"/>
              </w:rPr>
              <w:t>pior</w:t>
            </w:r>
            <w:r>
              <w:rPr>
                <w:sz w:val="28"/>
                <w:szCs w:val="28"/>
              </w:rPr>
              <w:t>?</w:t>
            </w:r>
          </w:p>
        </w:tc>
      </w:tr>
    </w:tbl>
    <w:p w:rsidR="00B549EF" w:rsidRDefault="00B549EF" w:rsidP="00B549EF">
      <w:pPr>
        <w:pStyle w:val="PargrafodaLista"/>
        <w:jc w:val="both"/>
        <w:rPr>
          <w:sz w:val="28"/>
          <w:szCs w:val="28"/>
        </w:rPr>
      </w:pPr>
    </w:p>
    <w:p w:rsidR="001D72F8" w:rsidRDefault="00DE6A7A" w:rsidP="00DE6A7A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Andar de bicicleta ou andar de patins?</w:t>
      </w:r>
    </w:p>
    <w:p w:rsidR="00DE6A7A" w:rsidRDefault="00DE6A7A" w:rsidP="00DE6A7A">
      <w:pPr>
        <w:pStyle w:val="PargrafodaLista"/>
        <w:jc w:val="both"/>
        <w:rPr>
          <w:sz w:val="28"/>
          <w:szCs w:val="28"/>
        </w:rPr>
      </w:pPr>
    </w:p>
    <w:p w:rsidR="00DE6A7A" w:rsidRPr="00660998" w:rsidRDefault="00DE6A7A" w:rsidP="00DE6A7A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660998">
        <w:rPr>
          <w:sz w:val="28"/>
          <w:szCs w:val="28"/>
        </w:rPr>
        <w:t xml:space="preserve">Sentir frio ou sentir calor? </w:t>
      </w:r>
    </w:p>
    <w:p w:rsidR="00DE6A7A" w:rsidRPr="00DE6A7A" w:rsidRDefault="00DE6A7A" w:rsidP="00660998">
      <w:pPr>
        <w:pStyle w:val="PargrafodaLista"/>
        <w:jc w:val="both"/>
        <w:rPr>
          <w:sz w:val="28"/>
          <w:szCs w:val="28"/>
        </w:rPr>
      </w:pPr>
    </w:p>
    <w:p w:rsidR="00660998" w:rsidRPr="00660998" w:rsidRDefault="00DE6A7A" w:rsidP="00660998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660998">
        <w:rPr>
          <w:sz w:val="28"/>
          <w:szCs w:val="28"/>
        </w:rPr>
        <w:t>Leite com café ou leite com chocolate?</w:t>
      </w:r>
    </w:p>
    <w:p w:rsidR="00660998" w:rsidRDefault="00660998" w:rsidP="00660998">
      <w:pPr>
        <w:pStyle w:val="PargrafodaLista"/>
        <w:jc w:val="both"/>
        <w:rPr>
          <w:sz w:val="28"/>
          <w:szCs w:val="28"/>
        </w:rPr>
      </w:pPr>
    </w:p>
    <w:p w:rsidR="00660998" w:rsidRPr="00660998" w:rsidRDefault="00DE6A7A" w:rsidP="00660998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660998">
        <w:rPr>
          <w:sz w:val="28"/>
          <w:szCs w:val="28"/>
        </w:rPr>
        <w:t>Assistir a um filme de terror ou assistir a um filme de aventura?</w:t>
      </w:r>
    </w:p>
    <w:p w:rsidR="00660998" w:rsidRDefault="00660998" w:rsidP="00660998">
      <w:pPr>
        <w:pStyle w:val="PargrafodaLista"/>
        <w:jc w:val="both"/>
        <w:rPr>
          <w:sz w:val="28"/>
          <w:szCs w:val="28"/>
        </w:rPr>
      </w:pPr>
    </w:p>
    <w:p w:rsidR="00DE6A7A" w:rsidRDefault="00DE6A7A" w:rsidP="00DE6A7A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Ir ao parque ou jogar futebol?</w:t>
      </w:r>
    </w:p>
    <w:p w:rsidR="00112BFB" w:rsidRPr="00112BFB" w:rsidRDefault="00112BFB" w:rsidP="00112BFB">
      <w:pPr>
        <w:pStyle w:val="PargrafodaLista"/>
        <w:rPr>
          <w:sz w:val="28"/>
          <w:szCs w:val="28"/>
        </w:rPr>
      </w:pPr>
    </w:p>
    <w:p w:rsidR="00112BFB" w:rsidRDefault="00112BFB" w:rsidP="00112BFB">
      <w:pPr>
        <w:jc w:val="both"/>
        <w:rPr>
          <w:sz w:val="28"/>
          <w:szCs w:val="28"/>
        </w:rPr>
      </w:pPr>
    </w:p>
    <w:p w:rsidR="00112BFB" w:rsidRDefault="00112BFB" w:rsidP="009D56FD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Numere a segunda coluna de acordo </w:t>
      </w:r>
      <w:r w:rsidR="00572E9C">
        <w:rPr>
          <w:sz w:val="28"/>
          <w:szCs w:val="28"/>
        </w:rPr>
        <w:t xml:space="preserve">com o grau em que o adjetivo foi empregado em cada frase. </w:t>
      </w:r>
    </w:p>
    <w:p w:rsidR="00572E9C" w:rsidRDefault="00572E9C" w:rsidP="009D56FD">
      <w:pPr>
        <w:pStyle w:val="PargrafodaLista"/>
        <w:jc w:val="both"/>
        <w:rPr>
          <w:sz w:val="28"/>
          <w:szCs w:val="28"/>
        </w:rPr>
      </w:pPr>
    </w:p>
    <w:p w:rsidR="00572E9C" w:rsidRDefault="00572E9C" w:rsidP="009D56FD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Grau comparativo de igualdade</w:t>
      </w:r>
    </w:p>
    <w:p w:rsidR="00572E9C" w:rsidRDefault="00572E9C" w:rsidP="009D56FD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Grau comparativo de inferioridade</w:t>
      </w:r>
    </w:p>
    <w:p w:rsidR="00572E9C" w:rsidRDefault="00572E9C" w:rsidP="009D56FD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Grau comparativo de superioridade</w:t>
      </w:r>
    </w:p>
    <w:p w:rsidR="00572E9C" w:rsidRDefault="00572E9C" w:rsidP="009D56FD">
      <w:pPr>
        <w:pStyle w:val="PargrafodaLista"/>
        <w:ind w:left="1080"/>
        <w:jc w:val="both"/>
        <w:rPr>
          <w:sz w:val="28"/>
          <w:szCs w:val="28"/>
        </w:rPr>
      </w:pPr>
    </w:p>
    <w:p w:rsidR="00572E9C" w:rsidRDefault="00572E9C" w:rsidP="009D56FD">
      <w:pPr>
        <w:pStyle w:val="PargrafodaLista"/>
        <w:numPr>
          <w:ilvl w:val="0"/>
          <w:numId w:val="8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O elefante é maior do que o leão.</w:t>
      </w:r>
    </w:p>
    <w:p w:rsidR="00572E9C" w:rsidRDefault="00572E9C" w:rsidP="009D56FD">
      <w:pPr>
        <w:pStyle w:val="PargrafodaLista"/>
        <w:ind w:left="1440"/>
        <w:jc w:val="both"/>
        <w:rPr>
          <w:sz w:val="28"/>
          <w:szCs w:val="28"/>
        </w:rPr>
      </w:pPr>
    </w:p>
    <w:p w:rsidR="00572E9C" w:rsidRDefault="00572E9C" w:rsidP="009D56FD">
      <w:pPr>
        <w:pStyle w:val="PargrafodaLista"/>
        <w:ind w:left="1440"/>
        <w:jc w:val="both"/>
        <w:rPr>
          <w:sz w:val="28"/>
          <w:szCs w:val="28"/>
        </w:rPr>
      </w:pPr>
    </w:p>
    <w:p w:rsidR="00572E9C" w:rsidRDefault="00572E9C" w:rsidP="009D56FD">
      <w:pPr>
        <w:pStyle w:val="PargrafodaLista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Renato é menos forte do que André.</w:t>
      </w:r>
    </w:p>
    <w:p w:rsidR="00572E9C" w:rsidRDefault="00572E9C" w:rsidP="009D56FD">
      <w:pPr>
        <w:pStyle w:val="PargrafodaLista"/>
        <w:ind w:left="426"/>
        <w:jc w:val="both"/>
        <w:rPr>
          <w:sz w:val="28"/>
          <w:szCs w:val="28"/>
        </w:rPr>
      </w:pPr>
    </w:p>
    <w:p w:rsidR="00572E9C" w:rsidRDefault="00572E9C" w:rsidP="009D56FD">
      <w:pPr>
        <w:pStyle w:val="PargrafodaLista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 cão é tão manso quanto o gato. </w:t>
      </w:r>
    </w:p>
    <w:p w:rsidR="00572E9C" w:rsidRPr="00572E9C" w:rsidRDefault="00572E9C" w:rsidP="009D56FD">
      <w:pPr>
        <w:pStyle w:val="PargrafodaLista"/>
        <w:jc w:val="both"/>
        <w:rPr>
          <w:sz w:val="28"/>
          <w:szCs w:val="28"/>
        </w:rPr>
      </w:pPr>
    </w:p>
    <w:p w:rsidR="00572E9C" w:rsidRPr="00572E9C" w:rsidRDefault="00572E9C" w:rsidP="009D56FD">
      <w:pPr>
        <w:pStyle w:val="PargrafodaLista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 casa de vovó é maior que a nossa. </w:t>
      </w:r>
    </w:p>
    <w:sectPr w:rsidR="00572E9C" w:rsidRPr="00572E9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C6" w:rsidRDefault="00EE25C6">
      <w:pPr>
        <w:spacing w:before="0"/>
      </w:pPr>
      <w:r>
        <w:separator/>
      </w:r>
    </w:p>
  </w:endnote>
  <w:endnote w:type="continuationSeparator" w:id="0">
    <w:p w:rsidR="00EE25C6" w:rsidRDefault="00EE25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C6" w:rsidRDefault="00EE25C6">
      <w:pPr>
        <w:spacing w:before="0"/>
      </w:pPr>
      <w:r>
        <w:separator/>
      </w:r>
    </w:p>
  </w:footnote>
  <w:footnote w:type="continuationSeparator" w:id="0">
    <w:p w:rsidR="00EE25C6" w:rsidRDefault="00EE25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CB6C29">
      <w:rPr>
        <w:rStyle w:val="RefernciaSutil"/>
        <w:rFonts w:cs="Calibri"/>
        <w:smallCaps w:val="0"/>
        <w:color w:val="auto"/>
        <w:u w:val="none"/>
      </w:rPr>
      <w:t xml:space="preserve">04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B6C2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3810"/>
    <w:multiLevelType w:val="hybridMultilevel"/>
    <w:tmpl w:val="E5F46F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0B4D"/>
    <w:multiLevelType w:val="hybridMultilevel"/>
    <w:tmpl w:val="E4DC5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5B0D"/>
    <w:multiLevelType w:val="hybridMultilevel"/>
    <w:tmpl w:val="C59C631A"/>
    <w:lvl w:ilvl="0" w:tplc="186C2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31F68"/>
    <w:multiLevelType w:val="hybridMultilevel"/>
    <w:tmpl w:val="51AE1120"/>
    <w:lvl w:ilvl="0" w:tplc="38188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73C8"/>
    <w:multiLevelType w:val="hybridMultilevel"/>
    <w:tmpl w:val="201C1338"/>
    <w:lvl w:ilvl="0" w:tplc="A328CA60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0292"/>
    <w:multiLevelType w:val="hybridMultilevel"/>
    <w:tmpl w:val="17464B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12BFB"/>
    <w:rsid w:val="001D72F8"/>
    <w:rsid w:val="002459BD"/>
    <w:rsid w:val="00280229"/>
    <w:rsid w:val="002A0390"/>
    <w:rsid w:val="002A65F6"/>
    <w:rsid w:val="002B07F9"/>
    <w:rsid w:val="0032794A"/>
    <w:rsid w:val="003639A9"/>
    <w:rsid w:val="003B46B5"/>
    <w:rsid w:val="003B76EC"/>
    <w:rsid w:val="00413CF7"/>
    <w:rsid w:val="004C47FA"/>
    <w:rsid w:val="00572E9C"/>
    <w:rsid w:val="006324CF"/>
    <w:rsid w:val="00651B51"/>
    <w:rsid w:val="00660998"/>
    <w:rsid w:val="00675CDD"/>
    <w:rsid w:val="007A1FBD"/>
    <w:rsid w:val="00882593"/>
    <w:rsid w:val="008A54DF"/>
    <w:rsid w:val="008F0DED"/>
    <w:rsid w:val="0092469A"/>
    <w:rsid w:val="00993602"/>
    <w:rsid w:val="009D56FD"/>
    <w:rsid w:val="00A76666"/>
    <w:rsid w:val="00B549EF"/>
    <w:rsid w:val="00C07193"/>
    <w:rsid w:val="00C30873"/>
    <w:rsid w:val="00CB6C29"/>
    <w:rsid w:val="00CD32A2"/>
    <w:rsid w:val="00D75825"/>
    <w:rsid w:val="00DE6A7A"/>
    <w:rsid w:val="00EE25C6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2794A"/>
    <w:pPr>
      <w:keepNext w:val="0"/>
      <w:numPr>
        <w:numId w:val="3"/>
      </w:numPr>
      <w:spacing w:before="120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A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3279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1DB1-2576-48CF-9098-4522C2FA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45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20</cp:revision>
  <cp:lastPrinted>2012-02-10T19:10:00Z</cp:lastPrinted>
  <dcterms:created xsi:type="dcterms:W3CDTF">2020-04-03T14:51:00Z</dcterms:created>
  <dcterms:modified xsi:type="dcterms:W3CDTF">2020-04-30T13:31:00Z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