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4B" w:rsidRDefault="00DE341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D359D">
        <w:rPr>
          <w:rFonts w:ascii="inherit" w:eastAsia="Times New Roman" w:hAnsi="inherit" w:cs="Arial"/>
          <w:noProof/>
          <w:color w:val="008892"/>
          <w:kern w:val="0"/>
          <w:sz w:val="26"/>
          <w:szCs w:val="26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4574347</wp:posOffset>
            </wp:positionH>
            <wp:positionV relativeFrom="paragraph">
              <wp:posOffset>360763</wp:posOffset>
            </wp:positionV>
            <wp:extent cx="2003425" cy="2607945"/>
            <wp:effectExtent l="0" t="0" r="0" b="1905"/>
            <wp:wrapSquare wrapText="bothSides"/>
            <wp:docPr id="4" name="Imagem 4" descr="https://static.manualdaquimica.com/conteudo/images/2018/11/Mistura-formada-por-agua-areia-e-oleo.jpg">
              <a:hlinkClick xmlns:a="http://schemas.openxmlformats.org/drawingml/2006/main" r:id="rId7" tooltip="&quot;Mistura de areia, Ã¡gua e Ã³le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anualdaquimica.com/conteudo/images/2018/11/Mistura-formada-por-agua-areia-e-oleo.jpg">
                      <a:hlinkClick r:id="rId7" tooltip="&quot;Mistura de areia, Ã¡gua e Ã³le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8" b="10870"/>
                    <a:stretch/>
                  </pic:blipFill>
                  <pic:spPr bwMode="auto">
                    <a:xfrm>
                      <a:off x="0" y="0"/>
                      <a:ext cx="200342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EAE">
        <w:rPr>
          <w:rFonts w:asciiTheme="minorHAnsi" w:hAnsiTheme="minorHAnsi" w:cstheme="minorHAnsi"/>
          <w:sz w:val="28"/>
          <w:szCs w:val="28"/>
          <w:lang w:eastAsia="ja-JP" w:bidi="ar-SA"/>
        </w:rPr>
        <w:t>ciências – misturas heterogêneas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9674B" w:rsidRDefault="00841B3F" w:rsidP="00841B3F">
      <w:pPr>
        <w:widowControl/>
        <w:shd w:val="clear" w:color="auto" w:fill="FFFFFF"/>
        <w:suppressAutoHyphens w:val="0"/>
        <w:spacing w:before="0"/>
        <w:jc w:val="both"/>
        <w:rPr>
          <w:rStyle w:val="Forte"/>
          <w:rFonts w:cs="Calibri"/>
          <w:color w:val="000000" w:themeColor="text1"/>
          <w:sz w:val="28"/>
          <w:szCs w:val="28"/>
        </w:rPr>
      </w:pPr>
      <w:r>
        <w:rPr>
          <w:rStyle w:val="Forte"/>
          <w:rFonts w:cs="Calibri"/>
          <w:color w:val="000000" w:themeColor="text1"/>
          <w:sz w:val="28"/>
          <w:szCs w:val="28"/>
        </w:rPr>
        <w:t xml:space="preserve">• </w:t>
      </w:r>
      <w:r w:rsidR="0029674B" w:rsidRPr="0029674B">
        <w:rPr>
          <w:rStyle w:val="Forte"/>
          <w:rFonts w:cs="Calibri"/>
          <w:color w:val="000000" w:themeColor="text1"/>
          <w:sz w:val="28"/>
          <w:szCs w:val="28"/>
        </w:rPr>
        <w:t>Misturas Heterogêneas</w:t>
      </w:r>
    </w:p>
    <w:p w:rsidR="000D359D" w:rsidRPr="000D359D" w:rsidRDefault="000D359D" w:rsidP="000D359D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</w:pPr>
      <w:r w:rsidRPr="000D359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São misturas formadas por materiais que não se </w:t>
      </w:r>
      <w:bookmarkStart w:id="0" w:name="_GoBack"/>
      <w:bookmarkEnd w:id="0"/>
      <w:r w:rsidRPr="000D359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dissolvem um no outro, ou seja, ao olharmos para o recipiente onde eles estão, podemos visualizá-los facilmente. Essas misturas apresentam duas ou mais fases.</w:t>
      </w:r>
      <w:r w:rsidRPr="000D359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0D359D"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  <w:t>Se em um recipiente adicionarmos areia, água e óleo, observaremos as três fases. Veja:</w:t>
      </w:r>
    </w:p>
    <w:p w:rsidR="000D359D" w:rsidRPr="000D359D" w:rsidRDefault="00DE341E" w:rsidP="00DE341E">
      <w:pPr>
        <w:widowControl/>
        <w:shd w:val="clear" w:color="auto" w:fill="FFFFFF"/>
        <w:suppressAutoHyphens w:val="0"/>
        <w:spacing w:before="0" w:line="405" w:lineRule="atLeast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D7D92" wp14:editId="2C870C94">
                <wp:simplePos x="0" y="0"/>
                <wp:positionH relativeFrom="column">
                  <wp:posOffset>4573684</wp:posOffset>
                </wp:positionH>
                <wp:positionV relativeFrom="paragraph">
                  <wp:posOffset>819785</wp:posOffset>
                </wp:positionV>
                <wp:extent cx="2257425" cy="237490"/>
                <wp:effectExtent l="0" t="0" r="9525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74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341E" w:rsidRPr="00DE341E" w:rsidRDefault="00DE341E" w:rsidP="00DE341E">
                            <w:pPr>
                              <w:pStyle w:val="Legenda"/>
                              <w:rPr>
                                <w:rFonts w:ascii="inherit" w:eastAsia="Times New Roman" w:hAnsi="inherit" w:cs="Arial"/>
                                <w:b/>
                                <w:caps/>
                                <w:noProof/>
                                <w:color w:val="008892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DE341E">
                              <w:rPr>
                                <w:sz w:val="20"/>
                                <w:szCs w:val="20"/>
                              </w:rPr>
                              <w:t>Mistura heterogênea (areia, água e óleo).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7D9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60.15pt;margin-top:64.55pt;width:177.7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" stroked="f">
                <v:textbox inset="0,0,0,0">
                  <w:txbxContent>
                    <w:p w:rsidR="00DE341E" w:rsidRPr="00DE341E" w:rsidRDefault="00DE341E" w:rsidP="00DE341E">
                      <w:pPr>
                        <w:pStyle w:val="Legenda"/>
                        <w:rPr>
                          <w:rFonts w:ascii="inherit" w:eastAsia="Times New Roman" w:hAnsi="inherit" w:cs="Arial"/>
                          <w:b/>
                          <w:caps/>
                          <w:noProof/>
                          <w:color w:val="008892"/>
                          <w:spacing w:val="10"/>
                          <w:sz w:val="20"/>
                          <w:szCs w:val="20"/>
                        </w:rPr>
                      </w:pPr>
                      <w:r w:rsidRPr="00DE341E">
                        <w:rPr>
                          <w:sz w:val="20"/>
                          <w:szCs w:val="20"/>
                        </w:rPr>
                        <w:t>Mistura heterogênea (areia, água e óleo).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59D" w:rsidRPr="000D359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Vale ressaltar que nem sempre é possível visualizar a olho nu as fases da mistura heterogênea. Em alguns casos, apenas a visualização com um microscópio permite a identificação das fases da mistura.</w:t>
      </w:r>
    </w:p>
    <w:p w:rsidR="00F15BCB" w:rsidRPr="00FD4F57" w:rsidRDefault="000D359D" w:rsidP="00A86658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0D359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Na maioria das vezes, é possível observar as distinções de fases de uma mistura heterogênea sem a necessidade de utilizar microscópios. As fases deste tipo de mistura podem ser percebidas pelos estados físicos ou cores diferentes.</w:t>
      </w:r>
      <w:r w:rsidR="00A86658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</w:t>
      </w:r>
      <w:r w:rsidR="00562F5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Portanto, a</w:t>
      </w:r>
      <w:r w:rsidR="00F15BCB" w:rsidRPr="000D359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presentam mais de uma fase, podendo ser bifásicas (duas fases), trifásicas (três fases), </w:t>
      </w:r>
      <w:proofErr w:type="spellStart"/>
      <w:r w:rsidR="00F15BCB" w:rsidRPr="000D359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tetrafásicas</w:t>
      </w:r>
      <w:proofErr w:type="spellEnd"/>
      <w:r w:rsidR="00F15BCB" w:rsidRPr="000D359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(quatro fases) e polifásicas (várias fases). </w:t>
      </w:r>
    </w:p>
    <w:p w:rsidR="00A86658" w:rsidRPr="000D359D" w:rsidRDefault="00562F5A" w:rsidP="00A86658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29674B">
        <w:rPr>
          <w:rFonts w:cs="Calibri"/>
          <w:noProof/>
          <w:color w:val="000000" w:themeColor="text1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76642</wp:posOffset>
            </wp:positionV>
            <wp:extent cx="4144645" cy="1621790"/>
            <wp:effectExtent l="0" t="0" r="8255" b="0"/>
            <wp:wrapSquare wrapText="bothSides"/>
            <wp:docPr id="2" name="Imagem 2" descr="https://s3-sa-east-1.amazonaws.com/manual-do-enem-test/d7d7c421a2bc48fbabbc534c0f6f8b93-Imagem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sa-east-1.amazonaws.com/manual-do-enem-test/d7d7c421a2bc48fbabbc534c0f6f8b93-Imagem%2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B073E" wp14:editId="38D17DB0">
                <wp:simplePos x="0" y="0"/>
                <wp:positionH relativeFrom="column">
                  <wp:posOffset>4426061</wp:posOffset>
                </wp:positionH>
                <wp:positionV relativeFrom="paragraph">
                  <wp:posOffset>115460</wp:posOffset>
                </wp:positionV>
                <wp:extent cx="1343660" cy="262255"/>
                <wp:effectExtent l="0" t="0" r="8890" b="44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262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B3F" w:rsidRPr="00841B3F" w:rsidRDefault="00841B3F" w:rsidP="00841B3F">
                            <w:pPr>
                              <w:pStyle w:val="Legenda"/>
                              <w:rPr>
                                <w:rFonts w:eastAsia="Times New Roman" w:cs="Calibr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1451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Misturas heterogêneas</w:t>
                            </w:r>
                            <w:r w:rsidRPr="00841B3F">
                              <w:rPr>
                                <w:rFonts w:cs="Calibr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073E" id="Caixa de texto 3" o:spid="_x0000_s1027" type="#_x0000_t202" style="position:absolute;left:0;text-align:left;margin-left:348.5pt;margin-top:9.1pt;width:105.8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" stroked="f">
                <v:textbox inset="0,0,0,0">
                  <w:txbxContent>
                    <w:p w:rsidR="00841B3F" w:rsidRPr="00841B3F" w:rsidRDefault="00841B3F" w:rsidP="00841B3F">
                      <w:pPr>
                        <w:pStyle w:val="Legenda"/>
                        <w:rPr>
                          <w:rFonts w:eastAsia="Times New Roman" w:cs="Calibri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971451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Misturas heterogêneas</w:t>
                      </w:r>
                      <w:r w:rsidRPr="00841B3F">
                        <w:rPr>
                          <w:rFonts w:cs="Calibr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F5A" w:rsidRDefault="00562F5A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</w:pPr>
    </w:p>
    <w:p w:rsidR="001240E6" w:rsidRDefault="001240E6" w:rsidP="001240E6">
      <w:pPr>
        <w:widowControl/>
        <w:shd w:val="clear" w:color="auto" w:fill="FFFFFF"/>
        <w:suppressAutoHyphens w:val="0"/>
        <w:spacing w:before="0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1240E6" w:rsidRPr="001240E6" w:rsidRDefault="001240E6" w:rsidP="001240E6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cs="Calibri"/>
          <w:color w:val="000000" w:themeColor="text1"/>
          <w:sz w:val="28"/>
          <w:szCs w:val="28"/>
          <w:shd w:val="clear" w:color="auto" w:fill="FFFFFF"/>
        </w:rPr>
      </w:pPr>
      <w:r w:rsidRPr="001240E6">
        <w:rPr>
          <w:rFonts w:cs="Calibri"/>
          <w:color w:val="000000" w:themeColor="text1"/>
          <w:sz w:val="28"/>
          <w:szCs w:val="28"/>
          <w:shd w:val="clear" w:color="auto" w:fill="FFFFFF"/>
        </w:rPr>
        <w:t>As misturas heterogêneas podem envolver a junção de um sólido com sólido, líquido e sólido, líquido e líquido, líquido e gás ou gás e sólido.</w:t>
      </w:r>
    </w:p>
    <w:p w:rsidR="00F15BCB" w:rsidRPr="000D359D" w:rsidRDefault="00F15BCB" w:rsidP="00A86658">
      <w:pPr>
        <w:widowControl/>
        <w:shd w:val="clear" w:color="auto" w:fill="FCFBF3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FD4F57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lang w:eastAsia="pt-BR" w:bidi="ar-SA"/>
        </w:rPr>
        <w:t>Exemplos</w:t>
      </w:r>
      <w:r w:rsidRPr="000D359D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: granito (mistura de quartzo, mica e feldspa</w:t>
      </w:r>
      <w:r w:rsidR="00A86658" w:rsidRPr="00FD4F5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to), água e óleo, água e areia.</w:t>
      </w:r>
    </w:p>
    <w:p w:rsidR="00841B3F" w:rsidRDefault="00841B3F" w:rsidP="0029674B">
      <w:pPr>
        <w:pStyle w:val="NormalWeb"/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</w:p>
    <w:p w:rsidR="00841B3F" w:rsidRDefault="0056025B" w:rsidP="0056025B">
      <w:pPr>
        <w:pStyle w:val="NormalWeb"/>
        <w:numPr>
          <w:ilvl w:val="0"/>
          <w:numId w:val="7"/>
        </w:numPr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Explique a diferença entre misturas homogêneas e heterogêneas. </w:t>
      </w:r>
    </w:p>
    <w:p w:rsidR="0056025B" w:rsidRDefault="0056025B" w:rsidP="0056025B">
      <w:pPr>
        <w:pStyle w:val="NormalWeb"/>
        <w:shd w:val="clear" w:color="auto" w:fill="FFFFFF"/>
        <w:spacing w:before="0" w:after="0"/>
        <w:ind w:left="720"/>
        <w:jc w:val="both"/>
        <w:rPr>
          <w:rFonts w:cs="Calibri"/>
          <w:color w:val="000000" w:themeColor="text1"/>
          <w:sz w:val="28"/>
          <w:szCs w:val="28"/>
        </w:rPr>
      </w:pPr>
    </w:p>
    <w:p w:rsidR="0056025B" w:rsidRDefault="0056025B" w:rsidP="0056025B">
      <w:pPr>
        <w:pStyle w:val="NormalWeb"/>
        <w:numPr>
          <w:ilvl w:val="0"/>
          <w:numId w:val="7"/>
        </w:numPr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Cite um exemplo de cada mistura. </w:t>
      </w:r>
    </w:p>
    <w:p w:rsidR="0056025B" w:rsidRDefault="0056025B" w:rsidP="0056025B">
      <w:pPr>
        <w:pStyle w:val="PargrafodaLista"/>
        <w:rPr>
          <w:rFonts w:cs="Calibri"/>
          <w:color w:val="000000" w:themeColor="text1"/>
          <w:sz w:val="28"/>
          <w:szCs w:val="28"/>
        </w:rPr>
      </w:pPr>
    </w:p>
    <w:p w:rsidR="0056025B" w:rsidRDefault="0056025B" w:rsidP="0056025B">
      <w:pPr>
        <w:pStyle w:val="NormalWeb"/>
        <w:numPr>
          <w:ilvl w:val="0"/>
          <w:numId w:val="7"/>
        </w:numPr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De acordo com as experiências realizadas por você, complete a tabela: </w:t>
      </w:r>
    </w:p>
    <w:p w:rsidR="0056025B" w:rsidRDefault="0056025B" w:rsidP="0056025B">
      <w:pPr>
        <w:pStyle w:val="PargrafodaLista"/>
        <w:rPr>
          <w:rFonts w:cs="Calibri"/>
          <w:color w:val="000000" w:themeColor="text1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894"/>
        <w:tblW w:w="0" w:type="auto"/>
        <w:tblLook w:val="04A0" w:firstRow="1" w:lastRow="0" w:firstColumn="1" w:lastColumn="0" w:noHBand="0" w:noVBand="1"/>
      </w:tblPr>
      <w:tblGrid>
        <w:gridCol w:w="4423"/>
        <w:gridCol w:w="4435"/>
      </w:tblGrid>
      <w:tr w:rsidR="0056025B" w:rsidTr="0056025B">
        <w:tc>
          <w:tcPr>
            <w:tcW w:w="8858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56025B" w:rsidRPr="0056025B" w:rsidRDefault="0056025B" w:rsidP="0056025B">
            <w:pPr>
              <w:pStyle w:val="NormalWeb"/>
              <w:spacing w:before="0" w:after="0"/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56025B">
              <w:rPr>
                <w:rFonts w:cs="Calibri"/>
                <w:b/>
                <w:color w:val="000000" w:themeColor="text1"/>
                <w:sz w:val="28"/>
                <w:szCs w:val="28"/>
              </w:rPr>
              <w:lastRenderedPageBreak/>
              <w:t>EXPERIMENTOS</w:t>
            </w:r>
          </w:p>
        </w:tc>
      </w:tr>
      <w:tr w:rsidR="0056025B" w:rsidTr="0056025B">
        <w:tc>
          <w:tcPr>
            <w:tcW w:w="442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56025B" w:rsidRPr="0056025B" w:rsidRDefault="0056025B" w:rsidP="0056025B">
            <w:pPr>
              <w:pStyle w:val="NormalWeb"/>
              <w:spacing w:before="0" w:after="0"/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56025B">
              <w:rPr>
                <w:rFonts w:cs="Calibri"/>
                <w:b/>
                <w:color w:val="000000" w:themeColor="text1"/>
                <w:sz w:val="28"/>
                <w:szCs w:val="28"/>
              </w:rPr>
              <w:t>Misturas homogêneas</w:t>
            </w:r>
          </w:p>
        </w:tc>
        <w:tc>
          <w:tcPr>
            <w:tcW w:w="443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56025B" w:rsidRPr="0056025B" w:rsidRDefault="0056025B" w:rsidP="0056025B">
            <w:pPr>
              <w:pStyle w:val="NormalWeb"/>
              <w:spacing w:before="0" w:after="0"/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56025B">
              <w:rPr>
                <w:rFonts w:cs="Calibri"/>
                <w:b/>
                <w:color w:val="000000" w:themeColor="text1"/>
                <w:sz w:val="28"/>
                <w:szCs w:val="28"/>
              </w:rPr>
              <w:t>Misturas heterogêneas</w:t>
            </w:r>
          </w:p>
        </w:tc>
      </w:tr>
      <w:tr w:rsidR="0056025B" w:rsidTr="0056025B">
        <w:tc>
          <w:tcPr>
            <w:tcW w:w="442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56025B" w:rsidTr="0056025B">
        <w:tc>
          <w:tcPr>
            <w:tcW w:w="442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56025B" w:rsidTr="0056025B">
        <w:tc>
          <w:tcPr>
            <w:tcW w:w="4423" w:type="dxa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56025B" w:rsidTr="0056025B">
        <w:tc>
          <w:tcPr>
            <w:tcW w:w="442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56025B" w:rsidTr="0056025B">
        <w:tc>
          <w:tcPr>
            <w:tcW w:w="442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56025B" w:rsidTr="0056025B">
        <w:tc>
          <w:tcPr>
            <w:tcW w:w="442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6025B" w:rsidRDefault="0056025B" w:rsidP="0056025B">
            <w:pPr>
              <w:pStyle w:val="NormalWeb"/>
              <w:spacing w:before="0" w:after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</w:tbl>
    <w:p w:rsidR="0056025B" w:rsidRDefault="0056025B" w:rsidP="0056025B">
      <w:pPr>
        <w:pStyle w:val="NormalWeb"/>
        <w:shd w:val="clear" w:color="auto" w:fill="FFFFFF"/>
        <w:spacing w:before="0" w:after="0"/>
        <w:ind w:left="360"/>
        <w:jc w:val="both"/>
        <w:rPr>
          <w:rFonts w:cs="Calibri"/>
          <w:color w:val="000000" w:themeColor="text1"/>
          <w:sz w:val="28"/>
          <w:szCs w:val="28"/>
        </w:rPr>
      </w:pPr>
    </w:p>
    <w:p w:rsidR="0056025B" w:rsidRDefault="0056025B" w:rsidP="0056025B">
      <w:pPr>
        <w:pStyle w:val="NormalWeb"/>
        <w:shd w:val="clear" w:color="auto" w:fill="FFFFFF"/>
        <w:spacing w:before="0" w:after="0"/>
        <w:ind w:left="720"/>
        <w:jc w:val="both"/>
        <w:rPr>
          <w:rFonts w:cs="Calibri"/>
          <w:color w:val="000000" w:themeColor="text1"/>
          <w:sz w:val="28"/>
          <w:szCs w:val="28"/>
        </w:rPr>
      </w:pPr>
    </w:p>
    <w:p w:rsidR="00841B3F" w:rsidRDefault="00841B3F" w:rsidP="0029674B">
      <w:pPr>
        <w:pStyle w:val="NormalWeb"/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</w:p>
    <w:p w:rsidR="00841B3F" w:rsidRDefault="00841B3F" w:rsidP="0029674B">
      <w:pPr>
        <w:pStyle w:val="NormalWeb"/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</w:p>
    <w:p w:rsidR="00841B3F" w:rsidRDefault="00841B3F" w:rsidP="0029674B">
      <w:pPr>
        <w:pStyle w:val="NormalWeb"/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</w:p>
    <w:p w:rsidR="00841B3F" w:rsidRDefault="00841B3F" w:rsidP="0029674B">
      <w:pPr>
        <w:pStyle w:val="NormalWeb"/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</w:p>
    <w:p w:rsidR="00841B3F" w:rsidRDefault="00841B3F" w:rsidP="0029674B">
      <w:pPr>
        <w:pStyle w:val="NormalWeb"/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</w:p>
    <w:p w:rsidR="0029674B" w:rsidRPr="0029674B" w:rsidRDefault="0029674B" w:rsidP="0029674B">
      <w:pPr>
        <w:pStyle w:val="NormalWeb"/>
        <w:shd w:val="clear" w:color="auto" w:fill="FFFFFF"/>
        <w:spacing w:before="0" w:after="0"/>
        <w:jc w:val="both"/>
        <w:rPr>
          <w:rFonts w:cs="Calibri"/>
          <w:color w:val="000000" w:themeColor="text1"/>
          <w:sz w:val="28"/>
          <w:szCs w:val="28"/>
        </w:rPr>
      </w:pPr>
    </w:p>
    <w:p w:rsidR="008A54DF" w:rsidRPr="0029674B" w:rsidRDefault="008A54DF" w:rsidP="0029674B">
      <w:pPr>
        <w:tabs>
          <w:tab w:val="left" w:pos="2367"/>
        </w:tabs>
        <w:rPr>
          <w:lang w:eastAsia="ja-JP" w:bidi="ar-SA"/>
        </w:rPr>
      </w:pPr>
    </w:p>
    <w:sectPr w:rsidR="008A54DF" w:rsidRPr="0029674B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5D" w:rsidRDefault="00FD255D">
      <w:pPr>
        <w:spacing w:before="0"/>
      </w:pPr>
      <w:r>
        <w:separator/>
      </w:r>
    </w:p>
  </w:endnote>
  <w:endnote w:type="continuationSeparator" w:id="0">
    <w:p w:rsidR="00FD255D" w:rsidRDefault="00FD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5D" w:rsidRDefault="00FD255D">
      <w:pPr>
        <w:spacing w:before="0"/>
      </w:pPr>
      <w:r>
        <w:separator/>
      </w:r>
    </w:p>
  </w:footnote>
  <w:footnote w:type="continuationSeparator" w:id="0">
    <w:p w:rsidR="00FD255D" w:rsidRDefault="00FD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8E4AD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07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JULH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879"/>
    <w:multiLevelType w:val="multilevel"/>
    <w:tmpl w:val="883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0EF5"/>
    <w:multiLevelType w:val="hybridMultilevel"/>
    <w:tmpl w:val="062E7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5BFB"/>
    <w:multiLevelType w:val="multilevel"/>
    <w:tmpl w:val="013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34F5C"/>
    <w:multiLevelType w:val="multilevel"/>
    <w:tmpl w:val="8DC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D359D"/>
    <w:rsid w:val="000F6BFB"/>
    <w:rsid w:val="001240E6"/>
    <w:rsid w:val="00194E84"/>
    <w:rsid w:val="0029674B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04DF"/>
    <w:rsid w:val="003E4DCA"/>
    <w:rsid w:val="00400ECA"/>
    <w:rsid w:val="00521C4B"/>
    <w:rsid w:val="0056025B"/>
    <w:rsid w:val="00562F5A"/>
    <w:rsid w:val="005E02A4"/>
    <w:rsid w:val="00651B51"/>
    <w:rsid w:val="00675CDD"/>
    <w:rsid w:val="0069238B"/>
    <w:rsid w:val="00694B9C"/>
    <w:rsid w:val="006B4781"/>
    <w:rsid w:val="00841B3F"/>
    <w:rsid w:val="00882593"/>
    <w:rsid w:val="008A3641"/>
    <w:rsid w:val="008A54DF"/>
    <w:rsid w:val="008E4AD2"/>
    <w:rsid w:val="008F0DED"/>
    <w:rsid w:val="009149C3"/>
    <w:rsid w:val="0092469A"/>
    <w:rsid w:val="00971451"/>
    <w:rsid w:val="00993602"/>
    <w:rsid w:val="00A43DE9"/>
    <w:rsid w:val="00A76666"/>
    <w:rsid w:val="00A86658"/>
    <w:rsid w:val="00C14D34"/>
    <w:rsid w:val="00C6779C"/>
    <w:rsid w:val="00CB70CC"/>
    <w:rsid w:val="00CE1D3D"/>
    <w:rsid w:val="00D123D7"/>
    <w:rsid w:val="00D13922"/>
    <w:rsid w:val="00D753CB"/>
    <w:rsid w:val="00D75825"/>
    <w:rsid w:val="00DE341E"/>
    <w:rsid w:val="00E63EAE"/>
    <w:rsid w:val="00F00A34"/>
    <w:rsid w:val="00F15BCB"/>
    <w:rsid w:val="00F6724C"/>
    <w:rsid w:val="00F75CF9"/>
    <w:rsid w:val="00F869C3"/>
    <w:rsid w:val="00FC4520"/>
    <w:rsid w:val="00FD255D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styleId="Forte">
    <w:name w:val="Strong"/>
    <w:basedOn w:val="Fontepargpadro"/>
    <w:uiPriority w:val="22"/>
    <w:qFormat/>
    <w:rsid w:val="0029674B"/>
    <w:rPr>
      <w:b/>
      <w:bCs/>
    </w:rPr>
  </w:style>
  <w:style w:type="table" w:styleId="Tabelacomgrade">
    <w:name w:val="Table Grid"/>
    <w:basedOn w:val="Tabelanormal"/>
    <w:uiPriority w:val="39"/>
    <w:rsid w:val="005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5602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ualdaquimica.com/quimica-geral/tipos-mistura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2020-07-06T14:38:00Z</dcterms:created>
  <dcterms:modified xsi:type="dcterms:W3CDTF">2020-07-06T14:38:00Z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