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5" w:rsidRDefault="00500865" w:rsidP="00500865">
      <w:pPr>
        <w:pStyle w:val="01Ttulo-IEIJ"/>
      </w:pPr>
      <w:r>
        <w:t>DIA MUNDIAL DE CONSCIENTIZAÇÃO DO AUTISMO</w:t>
      </w:r>
    </w:p>
    <w:p w:rsidR="00500865" w:rsidRDefault="00E01727" w:rsidP="00500865">
      <w:pPr>
        <w:pStyle w:val="NormalWeb"/>
        <w:spacing w:before="0" w:after="0"/>
        <w:jc w:val="right"/>
      </w:pPr>
      <w:r>
        <w:rPr>
          <w:rFonts w:ascii="Book Antiqua" w:hAnsi="Book Antiqua"/>
          <w:color w:val="000000"/>
          <w:sz w:val="20"/>
          <w:szCs w:val="20"/>
        </w:rPr>
        <w:t>Período 1 - Atividade 10</w:t>
      </w:r>
      <w:bookmarkStart w:id="0" w:name="_GoBack"/>
      <w:bookmarkEnd w:id="0"/>
    </w:p>
    <w:p w:rsidR="00500865" w:rsidRDefault="00500865" w:rsidP="00500865">
      <w:pPr>
        <w:pStyle w:val="NormalWeb"/>
        <w:spacing w:before="0" w:after="0"/>
        <w:jc w:val="both"/>
      </w:pPr>
      <w:r>
        <w:rPr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9397332" wp14:editId="3C051723">
            <wp:simplePos x="0" y="0"/>
            <wp:positionH relativeFrom="column">
              <wp:posOffset>5076190</wp:posOffset>
            </wp:positionH>
            <wp:positionV relativeFrom="paragraph">
              <wp:posOffset>118745</wp:posOffset>
            </wp:positionV>
            <wp:extent cx="1069975" cy="1906270"/>
            <wp:effectExtent l="0" t="0" r="0" b="0"/>
            <wp:wrapSquare wrapText="bothSides"/>
            <wp:docPr id="4" name="Imagem 4" descr="https://lh6.googleusercontent.com/GU5X74PQv388TOoUFamceenejPZmZF6OL6BWmUQ3pgo4Su2B2DO2-xrMtpc6-lE8OxX2FNLl-fQBR9yxE2eiBNUmfIvKQbNTPTrke24blGiRjcjykoKGgu0LD5iZtodDaIAt6i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GU5X74PQv388TOoUFamceenejPZmZF6OL6BWmUQ3pgo4Su2B2DO2-xrMtpc6-lE8OxX2FNLl-fQBR9yxE2eiBNUmfIvKQbNTPTrke24blGiRjcjykoKGgu0LD5iZtodDaIAt6i7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>Olá,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Estou elaborando esta atividade no dia 2 de abril e por isso estou inspirado a lhe apresentar uma pessoa. Este rapaz aí ao lado!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Seu nome é Willian </w:t>
      </w:r>
      <w:proofErr w:type="spellStart"/>
      <w:r>
        <w:rPr>
          <w:rFonts w:ascii="Book Antiqua" w:hAnsi="Book Antiqua"/>
          <w:color w:val="000000"/>
        </w:rPr>
        <w:t>Chimura</w:t>
      </w:r>
      <w:proofErr w:type="spellEnd"/>
      <w:r>
        <w:rPr>
          <w:rFonts w:ascii="Book Antiqua" w:hAnsi="Book Antiqua"/>
          <w:color w:val="000000"/>
        </w:rPr>
        <w:t xml:space="preserve">, além de ser estudante, palestrante e </w:t>
      </w:r>
      <w:proofErr w:type="spellStart"/>
      <w:r>
        <w:rPr>
          <w:rFonts w:ascii="Book Antiqua" w:hAnsi="Book Antiqua"/>
          <w:color w:val="000000"/>
        </w:rPr>
        <w:t>youtuber</w:t>
      </w:r>
      <w:proofErr w:type="spellEnd"/>
      <w:r>
        <w:rPr>
          <w:rFonts w:ascii="Book Antiqua" w:hAnsi="Book Antiqua"/>
          <w:color w:val="000000"/>
        </w:rPr>
        <w:t>, ele é autista.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Possui um canal no </w:t>
      </w:r>
      <w:proofErr w:type="spellStart"/>
      <w:proofErr w:type="gramStart"/>
      <w:r>
        <w:rPr>
          <w:rFonts w:ascii="Book Antiqua" w:hAnsi="Book Antiqua"/>
          <w:color w:val="000000"/>
        </w:rPr>
        <w:t>YouTube</w:t>
      </w:r>
      <w:proofErr w:type="spellEnd"/>
      <w:proofErr w:type="gramEnd"/>
      <w:r>
        <w:rPr>
          <w:rFonts w:ascii="Book Antiqua" w:hAnsi="Book Antiqua"/>
          <w:color w:val="000000"/>
        </w:rPr>
        <w:t xml:space="preserve"> chamado </w:t>
      </w:r>
      <w:r>
        <w:rPr>
          <w:rFonts w:ascii="Book Antiqua" w:hAnsi="Book Antiqua"/>
          <w:i/>
          <w:iCs/>
          <w:color w:val="000000"/>
        </w:rPr>
        <w:t>Um canal sobre autismo</w:t>
      </w:r>
      <w:r>
        <w:rPr>
          <w:rFonts w:ascii="Book Antiqua" w:hAnsi="Book Antiqua"/>
          <w:color w:val="000000"/>
        </w:rPr>
        <w:t xml:space="preserve"> e no dia 2 de abril de 2019 fez um vídeo com um convite. Vamos assistir?</w:t>
      </w:r>
    </w:p>
    <w:p w:rsidR="00500865" w:rsidRDefault="00500865" w:rsidP="00500865"/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O que autismo é</w:t>
      </w:r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9" w:history="1">
        <w:r>
          <w:rPr>
            <w:rStyle w:val="Hyperlink"/>
            <w:rFonts w:ascii="Book Antiqua" w:hAnsi="Book Antiqua"/>
            <w:color w:val="1155CC"/>
          </w:rPr>
          <w:t>https://youtu.be/vNUcUTP7Dpw</w:t>
        </w:r>
      </w:hyperlink>
    </w:p>
    <w:p w:rsidR="00500865" w:rsidRDefault="00500865" w:rsidP="00500865"/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O convite que Willian nos faz é muito importante, por isso, na atividade de hoje, iremos estudar sobre o </w:t>
      </w:r>
      <w:r>
        <w:rPr>
          <w:rFonts w:ascii="Book Antiqua" w:hAnsi="Book Antiqua"/>
          <w:i/>
          <w:iCs/>
          <w:color w:val="000000"/>
        </w:rPr>
        <w:t xml:space="preserve">Transtorno do Espectro Autista </w:t>
      </w:r>
      <w:r>
        <w:rPr>
          <w:rFonts w:ascii="Book Antiqua" w:hAnsi="Book Antiqua"/>
          <w:color w:val="000000"/>
        </w:rPr>
        <w:t>(TEA). Mas, obviamente, Willian nos faz esse convite de maneira mais poética, com todas as licenças artísticas e filosóficas para se expressar de forma mais contundente através de exageros e eufemismos no momento de descrever o que  é o autismo.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Nós, por outro lado, iremos falar desse assunto de maneira mais científica com o objetivo de compreendermos melhor as causas, características, tratamentos e formas de convívio com essa parcela da população que possui essa peculiaridade.</w:t>
      </w:r>
    </w:p>
    <w:p w:rsidR="00500865" w:rsidRDefault="00B0631C" w:rsidP="00500865">
      <w:r>
        <w:pict>
          <v:rect id="_x0000_i1025" style="width:0;height:1.5pt" o:hralign="center" o:hrstd="t" o:hr="t" fillcolor="#a0a0a0" stroked="f"/>
        </w:pict>
      </w:r>
    </w:p>
    <w:p w:rsidR="00500865" w:rsidRDefault="00500865" w:rsidP="00500865">
      <w:pPr>
        <w:pStyle w:val="02Subttulo-IEIJ"/>
      </w:pPr>
      <w:r>
        <w:t xml:space="preserve">ONU declarou todo </w:t>
      </w:r>
      <w:proofErr w:type="gramStart"/>
      <w:r>
        <w:t>2</w:t>
      </w:r>
      <w:proofErr w:type="gramEnd"/>
      <w:r>
        <w:t xml:space="preserve"> de abril como a data para conscientizar a sociedade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 ONU (Organização das Nações Unidas), no fim de 2007, definiu todo </w:t>
      </w:r>
      <w:proofErr w:type="gramStart"/>
      <w:r>
        <w:rPr>
          <w:rFonts w:ascii="Book Antiqua" w:hAnsi="Book Antiqua"/>
          <w:color w:val="000000"/>
        </w:rPr>
        <w:t>2</w:t>
      </w:r>
      <w:proofErr w:type="gramEnd"/>
      <w:r>
        <w:rPr>
          <w:rFonts w:ascii="Book Antiqua" w:hAnsi="Book Antiqua"/>
          <w:color w:val="000000"/>
        </w:rPr>
        <w:t xml:space="preserve"> de abril como sendo o Dia Mundial de Conscientização do Autismo (no original em inglês: World </w:t>
      </w:r>
      <w:proofErr w:type="spellStart"/>
      <w:r>
        <w:rPr>
          <w:rFonts w:ascii="Book Antiqua" w:hAnsi="Book Antiqua"/>
          <w:color w:val="000000"/>
        </w:rPr>
        <w:t>Autism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Awareness</w:t>
      </w:r>
      <w:proofErr w:type="spellEnd"/>
      <w:r>
        <w:rPr>
          <w:rFonts w:ascii="Book Antiqua" w:hAnsi="Book Antiqua"/>
          <w:color w:val="000000"/>
        </w:rPr>
        <w:t xml:space="preserve"> Day), quando cartões-postais de todo o planeta se iluminam de azul — no Brasil, o mais famoso é o Cristo Redentor — para lembrar a data e chamar a atenção da mídia e da sociedade para o Transtorno do Espectro do Autismo (TEA).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Em 2020, pela primeira vez, a comunidade envolvida com a causa do autismo no Brasil todo </w:t>
      </w:r>
      <w:proofErr w:type="gramStart"/>
      <w:r>
        <w:rPr>
          <w:rFonts w:ascii="Book Antiqua" w:hAnsi="Book Antiqua"/>
          <w:color w:val="000000"/>
        </w:rPr>
        <w:t>segue,</w:t>
      </w:r>
      <w:proofErr w:type="gramEnd"/>
      <w:r>
        <w:rPr>
          <w:rFonts w:ascii="Book Antiqua" w:hAnsi="Book Antiqua"/>
          <w:color w:val="000000"/>
        </w:rPr>
        <w:t xml:space="preserve"> unida, em uma campanha nacional com tema único: “Respeito para todo o espectro”, para celebrar a data, usando a </w:t>
      </w:r>
      <w:proofErr w:type="spellStart"/>
      <w:r>
        <w:rPr>
          <w:rFonts w:ascii="Book Antiqua" w:hAnsi="Book Antiqua"/>
          <w:color w:val="000000"/>
        </w:rPr>
        <w:t>hashtag</w:t>
      </w:r>
      <w:proofErr w:type="spellEnd"/>
      <w:r>
        <w:rPr>
          <w:rFonts w:ascii="Book Antiqua" w:hAnsi="Book Antiqua"/>
          <w:color w:val="000000"/>
        </w:rPr>
        <w:t xml:space="preserve"> #RESPECTRO nas redes sociais.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Para 2019, o tema escolhido pela ONU foi “Tecnologias </w:t>
      </w:r>
      <w:proofErr w:type="spellStart"/>
      <w:r>
        <w:rPr>
          <w:rFonts w:ascii="Book Antiqua" w:hAnsi="Book Antiqua"/>
          <w:color w:val="000000"/>
        </w:rPr>
        <w:t>assistivas</w:t>
      </w:r>
      <w:proofErr w:type="spellEnd"/>
      <w:r>
        <w:rPr>
          <w:rFonts w:ascii="Book Antiqua" w:hAnsi="Book Antiqua"/>
          <w:color w:val="000000"/>
        </w:rPr>
        <w:t>, participação ativa” e o secretário-geral das Nações Unidas enviou mensagem falando de inclusão e sobre a importância de dar voz aos autistas adultos.</w:t>
      </w:r>
    </w:p>
    <w:p w:rsidR="00500865" w:rsidRDefault="00500865" w:rsidP="00500865"/>
    <w:p w:rsidR="00500865" w:rsidRDefault="00500865" w:rsidP="00500865"/>
    <w:p w:rsidR="00500865" w:rsidRDefault="00500865" w:rsidP="00500865">
      <w:pPr>
        <w:pStyle w:val="02Subttulo-IEIJ"/>
      </w:pPr>
      <w:r w:rsidRPr="00500865">
        <w:rPr>
          <w:rFonts w:cs="Calibri"/>
          <w:b/>
          <w:bCs/>
          <w:iCs/>
          <w:noProof/>
          <w:color w:val="000000"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4D85B373" wp14:editId="1D422589">
            <wp:simplePos x="0" y="0"/>
            <wp:positionH relativeFrom="column">
              <wp:posOffset>4037965</wp:posOffset>
            </wp:positionH>
            <wp:positionV relativeFrom="paragraph">
              <wp:posOffset>81280</wp:posOffset>
            </wp:positionV>
            <wp:extent cx="2061210" cy="143573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que é autismo?</w:t>
      </w:r>
    </w:p>
    <w:p w:rsidR="00500865" w:rsidRPr="00500865" w:rsidRDefault="00500865" w:rsidP="00500865">
      <w:pPr>
        <w:pStyle w:val="NormalWeb"/>
        <w:spacing w:before="0" w:after="0"/>
        <w:jc w:val="center"/>
      </w:pPr>
      <w:r w:rsidRPr="00500865">
        <w:rPr>
          <w:rFonts w:cs="Calibri"/>
          <w:b/>
          <w:bCs/>
          <w:iCs/>
          <w:color w:val="000000"/>
        </w:rPr>
        <w:t>Saiba a definição do Transtorno do Espectro do Autismo (TEA</w:t>
      </w:r>
      <w:r w:rsidRPr="00500865">
        <w:rPr>
          <w:rFonts w:cs="Calibri"/>
          <w:b/>
          <w:bCs/>
          <w:iCs/>
          <w:color w:val="000000"/>
          <w:sz w:val="28"/>
          <w:szCs w:val="28"/>
        </w:rPr>
        <w:t>)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O autismo – nome técnico oficial: Transtorno do Espectro do Autismo (TEA) – é uma condição de saúde caracterizada por déficit na comunicação social (socialização e comunicação verbal e não verbal) e comportamento (interesse restrito e movimentos repetitivos). Não há só um, mas muitos subtipos do transtorno. Tão abrangente que se usa o termo “espectro”, pelos vários níveis de comprometimento — há desde pessoas com outras doenças e condições associadas (</w:t>
      </w:r>
      <w:proofErr w:type="spellStart"/>
      <w:r>
        <w:rPr>
          <w:rFonts w:ascii="Book Antiqua" w:hAnsi="Book Antiqua"/>
          <w:color w:val="000000"/>
        </w:rPr>
        <w:t>comorbidades</w:t>
      </w:r>
      <w:proofErr w:type="spellEnd"/>
      <w:r>
        <w:rPr>
          <w:rFonts w:ascii="Book Antiqua" w:hAnsi="Book Antiqua"/>
          <w:color w:val="000000"/>
        </w:rPr>
        <w:t xml:space="preserve">), em </w:t>
      </w:r>
      <w:proofErr w:type="gramStart"/>
      <w:r>
        <w:rPr>
          <w:rFonts w:ascii="Book Antiqua" w:hAnsi="Book Antiqua"/>
          <w:color w:val="000000"/>
        </w:rPr>
        <w:t>condição grave e dependentes de outras pessoas</w:t>
      </w:r>
      <w:proofErr w:type="gramEnd"/>
      <w:r>
        <w:rPr>
          <w:rFonts w:ascii="Book Antiqua" w:hAnsi="Book Antiqua"/>
          <w:color w:val="000000"/>
        </w:rPr>
        <w:t>, até pessoas independentes, com vida comum, algumas nem sabem que são autistas, pois jamais tiveram diagnóstico.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As causas do autismo cada vez mais apontam para a genética. Confirmando estudos recentes anteriores, um trabalho científico de 2019 demonstrou que fatores genéticos são os mais importantes na determinação das causas (estimados entre 97% e 99%, sendo 81% hereditário — e ligados a mais de 900 genes), além de fatores ambientais (de 1% a 3%) ainda controversos, também possam estar associados, como, por exemplo, a idade paterna avançada ou o uso de ácido </w:t>
      </w:r>
      <w:proofErr w:type="spellStart"/>
      <w:r>
        <w:rPr>
          <w:rFonts w:ascii="Book Antiqua" w:hAnsi="Book Antiqua"/>
          <w:color w:val="000000"/>
        </w:rPr>
        <w:t>valpróico</w:t>
      </w:r>
      <w:proofErr w:type="spellEnd"/>
      <w:r>
        <w:rPr>
          <w:rFonts w:ascii="Book Antiqua" w:hAnsi="Book Antiqua"/>
          <w:color w:val="000000"/>
        </w:rPr>
        <w:t xml:space="preserve"> na gravidez. Existem atualmente 913 genes já mapeados e implicados como fatores de risco para o transtorno — sendo 102 genes os principais.</w:t>
      </w:r>
    </w:p>
    <w:p w:rsidR="00500865" w:rsidRDefault="00500865" w:rsidP="00500865">
      <w:pPr>
        <w:pStyle w:val="NormalWeb"/>
        <w:spacing w:before="0" w:after="0"/>
      </w:pPr>
      <w:r>
        <w:rPr>
          <w:rFonts w:cs="Calibri"/>
          <w:b/>
          <w:bCs/>
          <w:color w:val="000000"/>
          <w:sz w:val="28"/>
          <w:szCs w:val="28"/>
        </w:rPr>
        <w:t>Tratamento</w:t>
      </w:r>
      <w:r w:rsidR="00980539">
        <w:rPr>
          <w:rFonts w:cs="Calibri"/>
          <w:b/>
          <w:bCs/>
          <w:color w:val="000000"/>
          <w:sz w:val="28"/>
          <w:szCs w:val="28"/>
        </w:rPr>
        <w:t xml:space="preserve"> e atualidade brasileira</w:t>
      </w:r>
    </w:p>
    <w:p w:rsidR="00500865" w:rsidRDefault="00980539" w:rsidP="00500865">
      <w:pPr>
        <w:pStyle w:val="NormalWeb"/>
        <w:spacing w:before="0" w:after="0"/>
        <w:ind w:firstLine="340"/>
        <w:jc w:val="both"/>
      </w:pPr>
      <w:r>
        <w:rPr>
          <w:rFonts w:cs="Calibri"/>
          <w:b/>
          <w:bCs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4BE50490" wp14:editId="2BECF928">
            <wp:simplePos x="0" y="0"/>
            <wp:positionH relativeFrom="column">
              <wp:posOffset>4486910</wp:posOffset>
            </wp:positionH>
            <wp:positionV relativeFrom="paragraph">
              <wp:posOffset>88265</wp:posOffset>
            </wp:positionV>
            <wp:extent cx="1618615" cy="3174365"/>
            <wp:effectExtent l="0" t="0" r="635" b="698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65">
        <w:rPr>
          <w:rFonts w:ascii="Book Antiqua" w:hAnsi="Book Antiqua"/>
          <w:color w:val="000000"/>
        </w:rPr>
        <w:t xml:space="preserve">O tratamento psicológico com mais evidência de eficácia, segundo a Associação Americana de Psiquiatria, é a terapia de intervenção comportamental — aplicada por psicólogos. A mais usada delas é o ABA (sigla em inglês para </w:t>
      </w:r>
      <w:proofErr w:type="spellStart"/>
      <w:r w:rsidR="00500865">
        <w:rPr>
          <w:rFonts w:ascii="Book Antiqua" w:hAnsi="Book Antiqua"/>
          <w:i/>
          <w:iCs/>
          <w:color w:val="000000"/>
        </w:rPr>
        <w:t>Applied</w:t>
      </w:r>
      <w:proofErr w:type="spellEnd"/>
      <w:r w:rsidR="00500865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="00500865">
        <w:rPr>
          <w:rFonts w:ascii="Book Antiqua" w:hAnsi="Book Antiqua"/>
          <w:i/>
          <w:iCs/>
          <w:color w:val="000000"/>
        </w:rPr>
        <w:t>Behavior</w:t>
      </w:r>
      <w:proofErr w:type="spellEnd"/>
      <w:r w:rsidR="00500865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="00500865">
        <w:rPr>
          <w:rFonts w:ascii="Book Antiqua" w:hAnsi="Book Antiqua"/>
          <w:i/>
          <w:iCs/>
          <w:color w:val="000000"/>
        </w:rPr>
        <w:t>Analysis</w:t>
      </w:r>
      <w:proofErr w:type="spellEnd"/>
      <w:r w:rsidR="00500865">
        <w:rPr>
          <w:rFonts w:ascii="Book Antiqua" w:hAnsi="Book Antiqua"/>
          <w:color w:val="000000"/>
        </w:rPr>
        <w:t xml:space="preserve"> — em português, análise aplicada do comportamento).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Para autismo, o tratamento é personalizado e interdisciplinar, ou seja, além da psicologia, pacientes podem se beneficiar com intervenções de fonoaudiologia, terapia ocupacional, entre outros profissionais, conforme a necessidade de cada um. Na escola, um mediador pode trazer grandes benefícios, no aprendizado e na socialização.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Alguns sintomas como irritabilidade, agitação, </w:t>
      </w:r>
      <w:proofErr w:type="gramStart"/>
      <w:r>
        <w:rPr>
          <w:rFonts w:ascii="Book Antiqua" w:hAnsi="Book Antiqua"/>
          <w:color w:val="000000"/>
        </w:rPr>
        <w:t>auto agressividade</w:t>
      </w:r>
      <w:proofErr w:type="gramEnd"/>
      <w:r>
        <w:rPr>
          <w:rFonts w:ascii="Book Antiqua" w:hAnsi="Book Antiqua"/>
          <w:color w:val="000000"/>
        </w:rPr>
        <w:t>, hiperatividade, impulsividade, desatenção, insônia e outros podem ser tratados com medicamentos, que devem ser prescritos por um médico. 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>Há algumas condições clínicas associadas ao autismo com mais frequência, como: distúrbios gastrointestinais, convulsões, distúrbios do sono, Transtorno de Déficit da Atenção com Hiperatividade (TDAH), ansiedade e fobias — segundo estudos de 2012, 2017 e 2018.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No Brasil, a “Lei Berenice </w:t>
      </w:r>
      <w:proofErr w:type="spellStart"/>
      <w:r>
        <w:rPr>
          <w:rFonts w:ascii="Book Antiqua" w:hAnsi="Book Antiqua"/>
          <w:color w:val="000000"/>
        </w:rPr>
        <w:t>Piana</w:t>
      </w:r>
      <w:proofErr w:type="spellEnd"/>
      <w:r>
        <w:rPr>
          <w:rFonts w:ascii="Book Antiqua" w:hAnsi="Book Antiqua"/>
          <w:color w:val="000000"/>
        </w:rPr>
        <w:t xml:space="preserve">” — Lei 12.764, de 2012, que criou a Política Nacional de Proteção dos Direitos da Pessoa com Transtorno do Espectro do Autismo, </w:t>
      </w:r>
      <w:r>
        <w:rPr>
          <w:rFonts w:ascii="Book Antiqua" w:hAnsi="Book Antiqua"/>
          <w:color w:val="000000"/>
        </w:rPr>
        <w:lastRenderedPageBreak/>
        <w:t>regulamentada pelo Decreto 8.368, de 2014 —  garante os direitos dos autistas e os equipara às pessoas com deficiência [é importante ressaltar que o fato de uma lei equiparar uma condição à deficiência, não significa necessariamente que tal condição seja cientificamente uma deficiência, significa que em termos de direitos, acessibilidades e proteção do Estado tal condição deverá ser tratada como deficiência].</w:t>
      </w:r>
    </w:p>
    <w:p w:rsidR="00500865" w:rsidRDefault="00500865" w:rsidP="00500865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No Brasil, temos apenas um estudo de prevalência de TEA até hoje, um estudo-piloto, de 2011, em Atibaia (SP), de </w:t>
      </w:r>
      <w:proofErr w:type="gramStart"/>
      <w:r>
        <w:rPr>
          <w:rFonts w:ascii="Book Antiqua" w:hAnsi="Book Antiqua"/>
          <w:color w:val="000000"/>
        </w:rPr>
        <w:t>1</w:t>
      </w:r>
      <w:proofErr w:type="gramEnd"/>
      <w:r>
        <w:rPr>
          <w:rFonts w:ascii="Book Antiqua" w:hAnsi="Book Antiqua"/>
          <w:color w:val="000000"/>
        </w:rPr>
        <w:t xml:space="preserve"> autista para cada 367 habitantes (ou 27,2 por 10.000) — a pesquisa foi feita apenas em um bairro de 20 mil habitantes da cidade. Segundo a estimativa da OMS, o Brasil pode ter mais de </w:t>
      </w:r>
      <w:proofErr w:type="gramStart"/>
      <w:r>
        <w:rPr>
          <w:rFonts w:ascii="Book Antiqua" w:hAnsi="Book Antiqua"/>
          <w:color w:val="000000"/>
        </w:rPr>
        <w:t>2</w:t>
      </w:r>
      <w:proofErr w:type="gramEnd"/>
      <w:r>
        <w:rPr>
          <w:rFonts w:ascii="Book Antiqua" w:hAnsi="Book Antiqua"/>
          <w:color w:val="000000"/>
        </w:rPr>
        <w:t xml:space="preserve"> milhões de autistas.</w:t>
      </w:r>
    </w:p>
    <w:p w:rsidR="00500865" w:rsidRDefault="00B0631C" w:rsidP="00500865">
      <w:r>
        <w:pict>
          <v:rect id="_x0000_i1026" style="width:0;height:1.5pt" o:hralign="center" o:hrstd="t" o:hr="t" fillcolor="#a0a0a0" stroked="f"/>
        </w:pic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>Fontes:</w: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ONU declarou todo 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Book Antiqua" w:hAnsi="Book Antiqua"/>
          <w:b/>
          <w:bCs/>
          <w:color w:val="000000"/>
          <w:sz w:val="20"/>
          <w:szCs w:val="20"/>
        </w:rPr>
        <w:t xml:space="preserve"> de abril como a data para conscientizar a sociedade.</w:t>
      </w:r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://www.revistaautismo.com.br/diamundial/&gt;. Acesso em: 02/04/2020.</w:t>
      </w:r>
    </w:p>
    <w:p w:rsidR="00500865" w:rsidRDefault="00500865" w:rsidP="00500865">
      <w:pPr>
        <w:pStyle w:val="NormalWeb"/>
        <w:spacing w:before="0" w:after="0"/>
      </w:pPr>
      <w:r>
        <w:rPr>
          <w:rFonts w:ascii="Book Antiqua" w:hAnsi="Book Antiqua"/>
          <w:color w:val="000000"/>
          <w:sz w:val="20"/>
          <w:szCs w:val="20"/>
        </w:rPr>
        <w:t xml:space="preserve">REVISTA AUTISMO.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O que é autismo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?.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Revista Autismo.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://www.revistaautismo.com.br/o-que-e-autismo/&gt;. Acesso em: 02/04/2020.</w:t>
      </w:r>
    </w:p>
    <w:p w:rsidR="00500865" w:rsidRDefault="00B0631C" w:rsidP="00500865">
      <w:r>
        <w:pict>
          <v:rect id="_x0000_i1027" style="width:0;height:1.5pt" o:hralign="center" o:hrstd="t" o:hr="t" fillcolor="#a0a0a0" stroked="f"/>
        </w:pict>
      </w:r>
    </w:p>
    <w:p w:rsidR="00500865" w:rsidRDefault="00500865" w:rsidP="00980539">
      <w:pPr>
        <w:pStyle w:val="NormalWeb"/>
        <w:spacing w:before="0" w:after="0"/>
        <w:ind w:firstLine="340"/>
      </w:pPr>
      <w:r>
        <w:rPr>
          <w:rFonts w:ascii="Book Antiqua" w:hAnsi="Book Antiqua"/>
          <w:color w:val="000000"/>
        </w:rPr>
        <w:t>Agora que lemos os textos e conhecemos um pouco mais sobre o TEA, vamos assistir dois últimos vídeos para que possamos realizar nossas propostas:</w:t>
      </w:r>
      <w:proofErr w:type="gramStart"/>
      <w:r>
        <w:br/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>Dez Mil Azuis - Caminhada 2019</w:t>
      </w:r>
    </w:p>
    <w:p w:rsidR="00500865" w:rsidRDefault="00500865" w:rsidP="00980539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2" w:history="1">
        <w:r>
          <w:rPr>
            <w:rStyle w:val="Hyperlink"/>
            <w:rFonts w:ascii="Book Antiqua" w:hAnsi="Book Antiqua"/>
            <w:color w:val="1155CC"/>
          </w:rPr>
          <w:t>https://youtu.be/EJxJn4AtIhM</w:t>
        </w:r>
      </w:hyperlink>
      <w:proofErr w:type="gramStart"/>
      <w:r>
        <w:br/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  <w:sz w:val="28"/>
          <w:szCs w:val="28"/>
        </w:rPr>
        <w:t xml:space="preserve">Vídeo: 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Autismo: causas, sintomas, diagnóstico, </w:t>
      </w:r>
      <w:proofErr w:type="gramStart"/>
      <w:r>
        <w:rPr>
          <w:rFonts w:ascii="Book Antiqua" w:hAnsi="Book Antiqua"/>
          <w:b/>
          <w:bCs/>
          <w:color w:val="000000"/>
          <w:sz w:val="28"/>
          <w:szCs w:val="28"/>
        </w:rPr>
        <w:t>tratamento</w:t>
      </w:r>
      <w:proofErr w:type="gramEnd"/>
    </w:p>
    <w:p w:rsidR="00500865" w:rsidRDefault="00500865" w:rsidP="00500865">
      <w:pPr>
        <w:pStyle w:val="NormalWeb"/>
        <w:spacing w:before="0" w:after="0"/>
        <w:jc w:val="center"/>
      </w:pPr>
      <w:r>
        <w:rPr>
          <w:rFonts w:ascii="Book Antiqua" w:hAnsi="Book Antiqua"/>
          <w:color w:val="000000"/>
        </w:rPr>
        <w:t xml:space="preserve">Link: </w:t>
      </w:r>
      <w:hyperlink r:id="rId13" w:history="1">
        <w:r>
          <w:rPr>
            <w:rStyle w:val="Hyperlink"/>
            <w:rFonts w:ascii="Book Antiqua" w:hAnsi="Book Antiqua"/>
            <w:color w:val="1155CC"/>
          </w:rPr>
          <w:t>https://youtu.be/fokyS8KVC6c</w:t>
        </w:r>
      </w:hyperlink>
    </w:p>
    <w:p w:rsidR="00500865" w:rsidRDefault="00500865" w:rsidP="00500865"/>
    <w:p w:rsidR="00500865" w:rsidRDefault="00500865" w:rsidP="00980539">
      <w:pPr>
        <w:pStyle w:val="02Subttulo-IEIJ"/>
        <w:jc w:val="left"/>
      </w:pPr>
      <w:r>
        <w:t>Proposta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O que você compreendeu do que seja o autismo?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2. Quais as causas do autismo?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3. Você já viu o símbolo do autismo em algum estabelecimento comercial? Onde?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4. Recentemente, fizemos estudos que repetiam os experimentos de Mendel (</w:t>
      </w:r>
      <w:proofErr w:type="gramStart"/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 Saco</w:t>
      </w:r>
      <w:proofErr w:type="gramEnd"/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ervilhas). Nesses estudos, Mendel e nós pudemos chegar à conclusão do que chamamos hoje de Primeira Lei de Mendel:</w:t>
      </w:r>
    </w:p>
    <w:p w:rsidR="00E01727" w:rsidRPr="00E01727" w:rsidRDefault="00E01727" w:rsidP="00E01727">
      <w:pPr>
        <w:widowControl/>
        <w:shd w:val="clear" w:color="auto" w:fill="FFFFFF"/>
        <w:suppressAutoHyphens w:val="0"/>
        <w:spacing w:before="280" w:after="28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Baseada na comprovação da existência da dominância e da recessividade</w:t>
      </w:r>
      <w:proofErr w:type="gram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</w:t>
      </w:r>
      <w:r w:rsidRPr="00E01727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 </w:t>
      </w:r>
      <w:proofErr w:type="gram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dos genes </w:t>
      </w:r>
      <w:r w:rsidRPr="00E01727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[quando os genes para cor amarela e verde estavam juntos em um mesmo indivíduo, apenas o gene para cor amarela se manifestava]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e de que cada gameta carrega um gene simples </w:t>
      </w:r>
      <w:r w:rsidRPr="00E01727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[cada indivíduo só mandava um gene para seu filho, ou o de cor amarela ou o de cor verde]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, também chamado de Lei da Pureza dos Gametas, seu enunciado diz o seguinte: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u w:val="single"/>
          <w:lang w:eastAsia="pt-BR" w:bidi="ar-SA"/>
        </w:rPr>
        <w:t>cada característica é determinada por um par de fatores herdados um de cada progenitor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.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lastRenderedPageBreak/>
        <w:t xml:space="preserve">Através das informações obtidas pelos estudos sobre a genética do TEA, podemos dizer que essa lei é suficiente para explicar as causas dessa condição? Explique claramente seu raciocínio não </w:t>
      </w:r>
      <w:proofErr w:type="gramStart"/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esquecendo de</w:t>
      </w:r>
      <w:proofErr w:type="gramEnd"/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apresentar evidências do texto e/ou dos vídeos.</w:t>
      </w:r>
    </w:p>
    <w:p w:rsidR="00E01727" w:rsidRDefault="00E01727" w:rsidP="00E01727">
      <w:pPr>
        <w:widowControl/>
        <w:suppressAutoHyphens w:val="0"/>
        <w:spacing w:before="0"/>
        <w:jc w:val="both"/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</w:pP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5. Recordando termos que já estudamos em outras situações, explique a relação entre fenótipo (palavra de 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 xml:space="preserve">origem grega, junção de outras duas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“</w:t>
      </w:r>
      <w:proofErr w:type="spell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pheno</w:t>
      </w:r>
      <w:proofErr w:type="spell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”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 xml:space="preserve">, que significa evidente brilhante, e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“</w:t>
      </w:r>
      <w:proofErr w:type="spell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typos</w:t>
      </w:r>
      <w:proofErr w:type="spell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”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 xml:space="preserve">, que é traduzida como característica), genótipo </w:t>
      </w:r>
      <w:r w:rsidRPr="00E0172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(palavra de 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 xml:space="preserve">origem grega, junção de outras duas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“</w:t>
      </w:r>
      <w:proofErr w:type="spell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genos</w:t>
      </w:r>
      <w:proofErr w:type="spell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”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 xml:space="preserve">, que significa origem, família, e </w:t>
      </w: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“</w:t>
      </w:r>
      <w:proofErr w:type="spell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typos</w:t>
      </w:r>
      <w:proofErr w:type="spell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  <w:lang w:eastAsia="pt-BR" w:bidi="ar-SA"/>
        </w:rPr>
        <w:t>”</w:t>
      </w:r>
      <w:r w:rsidRPr="00E01727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lang w:eastAsia="pt-BR" w:bidi="ar-SA"/>
        </w:rPr>
        <w:t>, que é traduzida como característica) e ambiente no seguinte trecho.</w:t>
      </w:r>
    </w:p>
    <w:p w:rsidR="00E01727" w:rsidRPr="00E01727" w:rsidRDefault="00E01727" w:rsidP="00E0172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E01727" w:rsidRPr="00E01727" w:rsidRDefault="00E01727" w:rsidP="00E01727">
      <w:pPr>
        <w:widowControl/>
        <w:suppressAutoHyphens w:val="0"/>
        <w:spacing w:before="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As causas do autismo cada vez mais apontam para a genética. Confirmando estudos recentes anteriores, um trabalho científico de 2019 demonstrou que fatores genéticos são os mais importantes na determinação das causas (estimados entre 97% e 99%, sendo 81% hereditário — e ligados a mais de 900 genes), além de fatores ambientais (de 1% a 3%) ainda controversos, também possam estar associados, como, por exemplo, a idade paterna avançada ou o uso de ácido </w:t>
      </w:r>
      <w:proofErr w:type="spellStart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valpróico</w:t>
      </w:r>
      <w:proofErr w:type="spellEnd"/>
      <w:r w:rsidRPr="00E01727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 xml:space="preserve"> na gravidez. Existem atualmente 913 genes já mapeados e implicados como fatores de risco para o transtorno — sendo 102 genes os principais.</w:t>
      </w:r>
    </w:p>
    <w:p w:rsidR="00500865" w:rsidRDefault="00500865" w:rsidP="00500865">
      <w:pPr>
        <w:pStyle w:val="NormalWeb"/>
        <w:spacing w:before="0" w:after="0"/>
        <w:jc w:val="both"/>
      </w:pPr>
    </w:p>
    <w:p w:rsidR="009A7CBA" w:rsidRPr="00440ADA" w:rsidRDefault="00B0631C" w:rsidP="00310AF8">
      <w:pPr>
        <w:widowControl/>
        <w:suppressAutoHyphens w:val="0"/>
        <w:spacing w:before="1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8" style="width:0;height:1.5pt" o:hralign="center" o:hrstd="t" o:hr="t" fillcolor="#a0a0a0" stroked="f"/>
        </w:pict>
      </w:r>
    </w:p>
    <w:p w:rsidR="009A7CBA" w:rsidRPr="00310AF8" w:rsidRDefault="009A7CBA" w:rsidP="009A7CBA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310AF8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9A7CBA" w:rsidRPr="00310AF8" w:rsidRDefault="009A7CBA" w:rsidP="009A7CBA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9A7CBA" w:rsidRPr="00310AF8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9A7CBA" w:rsidRPr="00310AF8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9A7CBA" w:rsidRPr="00310AF8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9A7CBA" w:rsidRPr="00310AF8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310AF8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310AF8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310AF8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9A7CBA" w:rsidRPr="00440ADA" w:rsidRDefault="00B0631C" w:rsidP="009A7CB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9A7CBA" w:rsidRDefault="009A7CBA" w:rsidP="009A7CBA">
      <w:pPr>
        <w:pStyle w:val="03Texto-IEIJ"/>
        <w:rPr>
          <w:rFonts w:eastAsia="Times New Roman" w:cs="Times New Roman"/>
          <w:lang w:bidi="ar-SA"/>
        </w:rPr>
      </w:pPr>
      <w: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283F2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Atividade </w:t>
      </w:r>
      <w:r w:rsidR="00E01727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10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972204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12707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310AF8" w:rsidRDefault="00310AF8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310AF8" w:rsidRDefault="00310AF8" w:rsidP="00310AF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0AF8" w:rsidRDefault="00310AF8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Default="00980539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980539" w:rsidRDefault="00980539" w:rsidP="00980539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980539" w:rsidRDefault="00980539" w:rsidP="00980539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Default="00980539" w:rsidP="00980539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</w:p>
    <w:p w:rsidR="00980539" w:rsidRDefault="00980539" w:rsidP="00980539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980539" w:rsidRPr="00972204" w:rsidRDefault="00980539" w:rsidP="00980539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80539" w:rsidRPr="00972204" w:rsidRDefault="00980539" w:rsidP="00972204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</w:p>
    <w:sectPr w:rsidR="00980539" w:rsidRPr="0097220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1C" w:rsidRDefault="00B0631C">
      <w:pPr>
        <w:spacing w:before="0"/>
      </w:pPr>
      <w:r>
        <w:separator/>
      </w:r>
    </w:p>
  </w:endnote>
  <w:endnote w:type="continuationSeparator" w:id="0">
    <w:p w:rsidR="00B0631C" w:rsidRDefault="00B063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B0631C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980539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ab/>
        </w:r>
        <w:r w:rsidR="00980539" w:rsidRPr="00980539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DIA MUNDIAL DE CONSCIENTIZAÇÃO DO AUTISMO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DD4CA2">
          <w:rPr>
            <w:rFonts w:ascii="Book Antiqua" w:hAnsi="Book Antiqua"/>
            <w:noProof/>
            <w:sz w:val="20"/>
            <w:szCs w:val="20"/>
          </w:rPr>
          <w:t>5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DD4CA2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1C" w:rsidRDefault="00B0631C">
      <w:pPr>
        <w:spacing w:before="0"/>
      </w:pPr>
      <w:r>
        <w:separator/>
      </w:r>
    </w:p>
  </w:footnote>
  <w:footnote w:type="continuationSeparator" w:id="0">
    <w:p w:rsidR="00B0631C" w:rsidRDefault="00B063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198AC6" wp14:editId="36EDB4C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C48A0">
      <w:rPr>
        <w:rStyle w:val="RefernciaSutil"/>
        <w:rFonts w:cs="Calibri"/>
        <w:smallCaps w:val="0"/>
        <w:color w:val="auto"/>
        <w:u w:val="none"/>
      </w:rPr>
      <w:t>, 2020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00865">
      <w:rPr>
        <w:rStyle w:val="RefernciaSutil"/>
        <w:rFonts w:cs="Calibri"/>
        <w:smallCaps w:val="0"/>
        <w:color w:val="auto"/>
        <w:u w:val="none"/>
      </w:rPr>
      <w:t>0</w:t>
    </w:r>
    <w:r w:rsidR="00E01727">
      <w:rPr>
        <w:rStyle w:val="RefernciaSutil"/>
        <w:rFonts w:cs="Calibri"/>
        <w:smallCaps w:val="0"/>
        <w:color w:val="auto"/>
        <w:u w:val="none"/>
      </w:rPr>
      <w:t>8</w:t>
    </w:r>
    <w:r w:rsidR="00A57808">
      <w:rPr>
        <w:rStyle w:val="RefernciaSutil"/>
        <w:rFonts w:cs="Calibri"/>
        <w:smallCaps w:val="0"/>
        <w:color w:val="auto"/>
        <w:u w:val="none"/>
      </w:rPr>
      <w:t xml:space="preserve"> de </w:t>
    </w:r>
    <w:r w:rsidR="00500865">
      <w:rPr>
        <w:rStyle w:val="RefernciaSutil"/>
        <w:rFonts w:cs="Calibri"/>
        <w:smallCaps w:val="0"/>
        <w:color w:val="auto"/>
        <w:u w:val="none"/>
      </w:rPr>
      <w:t>abril</w:t>
    </w:r>
    <w:r w:rsidR="00A57808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D4CA2">
      <w:rPr>
        <w:rStyle w:val="RefernciaSutil"/>
        <w:rFonts w:cs="Calibri"/>
        <w:smallCaps w:val="0"/>
        <w:color w:val="auto"/>
        <w:u w:val="none"/>
      </w:rPr>
      <w:t>9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8FA"/>
    <w:multiLevelType w:val="multilevel"/>
    <w:tmpl w:val="908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1408F0"/>
    <w:rsid w:val="001A07D0"/>
    <w:rsid w:val="001F7945"/>
    <w:rsid w:val="0022533E"/>
    <w:rsid w:val="00254F78"/>
    <w:rsid w:val="00283F2F"/>
    <w:rsid w:val="00310AF8"/>
    <w:rsid w:val="00323354"/>
    <w:rsid w:val="003E644E"/>
    <w:rsid w:val="00496D25"/>
    <w:rsid w:val="00500865"/>
    <w:rsid w:val="005E4F32"/>
    <w:rsid w:val="00693AFC"/>
    <w:rsid w:val="006E1BAC"/>
    <w:rsid w:val="007C3B45"/>
    <w:rsid w:val="00972204"/>
    <w:rsid w:val="00980539"/>
    <w:rsid w:val="009A7CBA"/>
    <w:rsid w:val="009C3683"/>
    <w:rsid w:val="00A57808"/>
    <w:rsid w:val="00AC7D74"/>
    <w:rsid w:val="00B05387"/>
    <w:rsid w:val="00B0631C"/>
    <w:rsid w:val="00BC48A0"/>
    <w:rsid w:val="00BC6215"/>
    <w:rsid w:val="00C83563"/>
    <w:rsid w:val="00CB265B"/>
    <w:rsid w:val="00CD2EC0"/>
    <w:rsid w:val="00DD4CA2"/>
    <w:rsid w:val="00E004D8"/>
    <w:rsid w:val="00E01727"/>
    <w:rsid w:val="00E12707"/>
    <w:rsid w:val="00E70DB2"/>
    <w:rsid w:val="00EA0EBF"/>
    <w:rsid w:val="00EC0F2A"/>
    <w:rsid w:val="00F17114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00865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00865"/>
    <w:pPr>
      <w:keepNext w:val="0"/>
      <w:jc w:val="center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okyS8KVC6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EJxJn4AtIh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NUcUTP7Dpw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22</TotalTime>
  <Pages>1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2020-04-07T12:06:00Z</cp:lastPrinted>
  <dcterms:created xsi:type="dcterms:W3CDTF">2020-04-07T12:05:00Z</dcterms:created>
  <dcterms:modified xsi:type="dcterms:W3CDTF">2020-04-07T12:26:00Z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