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PÊNDULO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16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experimentar!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atividade, iremos dar continuidade aos trabalhos com mais um experimento baseado em suas respostas para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Pêndulo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Porém, como não podemos nos reunir para realizar o experimento e também não tenho a garantia de que todos possuem os materiais necessários para sua realização, gravei vídeos com os testes para que analisemos individualmente e futuramente discutamos seus resultados em conjunto.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coletemos os dados com precisão, siga as orientações da apresentação de slides cujo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está nas orientações.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Espero que goste do experimento!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Realizando esta atividade: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veja toda a apresentação de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slides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antes de realizar a proposta;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na imagem com o link para apresentação de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slides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115536" cy="682162"/>
                    <wp:effectExtent b="0" l="0" r="0" t="0"/>
                    <wp:docPr id="4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5536" cy="682162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1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RELEMBRANDO OS MODELOS ATÔMICOS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12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 </w:t>
    </w:r>
    <w:r w:rsidDel="00000000" w:rsidR="00000000" w:rsidRPr="00000000">
      <w:rPr>
        <w:smallCaps w:val="0"/>
        <w:color w:val="000000"/>
        <w:u w:val="none"/>
        <w:rtl w:val="0"/>
      </w:rPr>
      <w:t xml:space="preserve">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1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presentation/d/e/2PACX-1vQ6q0hfKsunmY_27ltGGFaZhLtSfwKDvPMdU0W4kEmhlcknabq-yDBgoV4al4S8E_fuEroQrRbogys0/pub?start=false&amp;loop=false&amp;delayms=30000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