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2588260</wp:posOffset>
                </wp:positionH>
                <wp:positionV relativeFrom="paragraph">
                  <wp:posOffset>539115</wp:posOffset>
                </wp:positionV>
                <wp:extent cx="3759200" cy="158750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400" cy="15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Usando uma calculadora, calcule a porcentagem de entrevistados que são meninos e explique como pensou.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03.8pt;margin-top:42.45pt;width:295.9pt;height:124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1. 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Usando uma calculadora, calcule a porcentagem de entrevistados que são meninos e explique como pensou.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 tabela a seguir mostra o resultado da entrevista que foi feita sobre os tipos de lanches com os alunos do 8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  <w:vertAlign w:val="superscript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ano.</w:t>
      </w:r>
    </w:p>
    <w:tbl>
      <w:tblPr>
        <w:tblW w:w="38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3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Compare a sua maneira de resolver essa questão com a do aluno do TAD anterior. A sua é igual, mais simples ou mais complexa que a dele? Por quê?</w:t>
      </w:r>
    </w:p>
    <w:p>
      <w:pPr>
        <w:pStyle w:val="Normal"/>
        <w:spacing w:lineRule="auto" w:line="276"/>
        <w:jc w:val="both"/>
        <w:rPr/>
      </w:pPr>
      <w:bookmarkStart w:id="0" w:name="__DdeLink__225_681324389"/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tbl>
      <w:tblPr>
        <w:tblW w:w="3874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4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-3661410</wp:posOffset>
                      </wp:positionH>
                      <wp:positionV relativeFrom="paragraph">
                        <wp:posOffset>580390</wp:posOffset>
                      </wp:positionV>
                      <wp:extent cx="3499485" cy="431800"/>
                      <wp:effectExtent l="0" t="0" r="0" b="0"/>
                      <wp:wrapNone/>
                      <wp:docPr id="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40" cy="43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spacing w:lineRule="auto" w:line="276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DejaVu Sans" w:cs="Noto Sans Devanaga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lang w:val="en-US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DejaVu Sans" w:cs="Noto Sans Devanagari"/>
                                      <w:color w:val="auto"/>
                                      <w:kern w:val="0"/>
                                      <w:sz w:val="26"/>
                                      <w:lang w:val="en-US"/>
                                    </w:rPr>
                                    <w:t xml:space="preserve"> Complete a tabela, dando os percentuais de alunos entrevistados.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stroked="f" style="position:absolute;margin-left:-288.3pt;margin-top:45.7pt;width:275.45pt;height:33.9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lang w:val="en-US"/>
                              </w:rPr>
                              <w:t xml:space="preserve"> Complete a tabela, dando os percentuais de alunos entrevistados.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8,9%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6"/>
          <w:szCs w:val="26"/>
        </w:rPr>
        <w:t>4.</w:t>
      </w:r>
      <w:r>
        <w:rPr>
          <w:b w:val="false"/>
          <w:bCs w:val="false"/>
          <w:sz w:val="26"/>
          <w:szCs w:val="26"/>
        </w:rPr>
        <w:t xml:space="preserve"> Se esses alimentos fossem vendidos na escola, qual teria mais chance de ser vendido? E o que teria menos chance? Por quê?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482</TotalTime>
  <Application>LibreOffice/6.1.5.2$Linux_X86_64 LibreOffice_project/10$Build-2</Application>
  <Pages>1</Pages>
  <Words>170</Words>
  <Characters>1282</Characters>
  <CharactersWithSpaces>1455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2020-06-22T11:04:01Z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