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Interpretação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40" w:before="240" w:lineRule="auto"/>
        <w:ind w:left="0" w:firstLine="0"/>
        <w:jc w:val="center"/>
        <w:rPr>
          <w:rFonts w:ascii="Georgia" w:cs="Georgia" w:eastAsia="Georgia" w:hAnsi="Georgia"/>
          <w:i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ENTREVISTA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 atividade de hoje será feita por um formulário, postado no link abaixo: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ind w:left="0" w:firstLine="0"/>
        <w:jc w:val="center"/>
        <w:rPr>
          <w:rFonts w:ascii="Georgia" w:cs="Georgia" w:eastAsia="Georgia" w:hAnsi="Georgia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u w:val="single"/>
            <w:rtl w:val="0"/>
          </w:rPr>
          <w:t xml:space="preserve">https://forms.gle/MpCaxUwttgrzW1Mt5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before="240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Assistam à entrevista indicada e respondam às questões, lembrando-se de fazer respostas completas sempre.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forms.gle/MpCaxUwttgrzW1Mt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