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4128134</wp:posOffset>
            </wp:positionH>
            <wp:positionV relativeFrom="paragraph">
              <wp:posOffset>-313053</wp:posOffset>
            </wp:positionV>
            <wp:extent cx="2710815" cy="64897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-720088</wp:posOffset>
            </wp:positionH>
            <wp:positionV relativeFrom="paragraph">
              <wp:posOffset>-313053</wp:posOffset>
            </wp:positionV>
            <wp:extent cx="1756410" cy="696595"/>
            <wp:effectExtent b="0" l="0" r="0" t="0"/>
            <wp:wrapSquare wrapText="bothSides" distB="0" distT="0" distL="0" distR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2021.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fevereiro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7263" l="9259" r="9258" t="82360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Dedo de prosa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350388" y="3748250"/>
                                <a:ext cx="5991225" cy="63500"/>
                                <a:chOff x="2350388" y="3748250"/>
                                <a:chExt cx="5991225" cy="635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2350388" y="3748250"/>
                                  <a:ext cx="5991225" cy="63500"/>
                                  <a:chOff x="0" y="59025"/>
                                  <a:chExt cx="6117000" cy="499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59025"/>
                                    <a:ext cx="6117000" cy="49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59025"/>
                                    <a:ext cx="6117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CnPr/>
                                <wps:spPr>
                                  <a:xfrm>
                                    <a:off x="0" y="108925"/>
                                    <a:ext cx="61170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cap="flat" cmpd="sng" w="2857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12700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5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Acesse o link abaixo e faça a leitura do texto disponibilizado no site </w:t>
      </w:r>
      <w:r w:rsidDel="00000000" w:rsidR="00000000" w:rsidRPr="00000000">
        <w:rPr>
          <w:rFonts w:ascii="Georgia" w:cs="Georgia" w:eastAsia="Georgia" w:hAnsi="Georgia"/>
          <w:b w:val="1"/>
          <w:i w:val="1"/>
          <w:rtl w:val="0"/>
        </w:rPr>
        <w:t xml:space="preserve">Bem contado</w:t>
      </w: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https://www.bemcontado.com.br/curtas/13-em-tamarana-geladeiras-armazenam-conhecimento.html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Agora, leia os panfletos abaixo:</w:t>
      </w:r>
    </w:p>
    <w:p w:rsidR="00000000" w:rsidDel="00000000" w:rsidP="00000000" w:rsidRDefault="00000000" w:rsidRPr="00000000" w14:paraId="0000000D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</w:rPr>
        <w:drawing>
          <wp:inline distB="114300" distT="114300" distL="114300" distR="114300">
            <wp:extent cx="5200650" cy="763905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63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</w:rPr>
        <w:drawing>
          <wp:inline distB="114300" distT="114300" distL="114300" distR="114300">
            <wp:extent cx="5229225" cy="7648575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7648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40" w:before="240" w:lineRule="auto"/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Após as leituras solicitadas, acesse ao formulário disponível no link abaixo:</w:t>
      </w:r>
    </w:p>
    <w:p w:rsidR="00000000" w:rsidDel="00000000" w:rsidP="00000000" w:rsidRDefault="00000000" w:rsidRPr="00000000" w14:paraId="00000013">
      <w:pPr>
        <w:widowControl w:val="0"/>
        <w:spacing w:after="240" w:before="240" w:lineRule="auto"/>
        <w:jc w:val="center"/>
        <w:rPr>
          <w:rFonts w:ascii="Georgia" w:cs="Georgia" w:eastAsia="Georgia" w:hAnsi="Georgia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https://forms.gle/zhdF7HH3PYWyEoo1A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12" Type="http://schemas.openxmlformats.org/officeDocument/2006/relationships/hyperlink" Target="https://forms.gle/zhdF7HH3PYWyEoo1A" TargetMode="External"/><Relationship Id="rId9" Type="http://schemas.openxmlformats.org/officeDocument/2006/relationships/hyperlink" Target="https://www.bemcontado.com.br/curtas/13-em-tamarana-geladeiras-armazenam-conhecimento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kbsypwpA9nYU/uj0r6FW+l/TRw==">AMUW2mUIeZopWBxpyD5uchNgjGvnUtVaAQayYKfcjhLuUd6d1qYSmUKW2+lyhwX8tZ9aOTUmV9RyepDfJPflEUtpCzo9bz80WsORFPVhEmHaLdetkY0vWKvEVgsN+HeDWIO7cylS/4Eu1WaY/gR3KOzEu/L1GSoHJA==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