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B0" w:rsidRPr="00640E90" w:rsidRDefault="00C610B0" w:rsidP="00C610B0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>Por que fazemos isso?</w:t>
      </w:r>
    </w:p>
    <w:p w:rsidR="00C610B0" w:rsidRPr="00EE0F7B" w:rsidRDefault="00C610B0" w:rsidP="00C610B0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Humanos e alguns primatas não conseguem se </w:t>
      </w:r>
      <w:proofErr w:type="gramStart"/>
      <w:r w:rsidRPr="00EE0F7B">
        <w:rPr>
          <w:kern w:val="0"/>
          <w:lang w:bidi="ar-SA"/>
        </w:rPr>
        <w:t>conter</w:t>
      </w:r>
      <w:proofErr w:type="gramEnd"/>
      <w:r w:rsidRPr="00EE0F7B">
        <w:rPr>
          <w:kern w:val="0"/>
          <w:lang w:bidi="ar-SA"/>
        </w:rPr>
        <w:t xml:space="preserve"> </w:t>
      </w:r>
      <w:r w:rsidR="00E04615">
        <w:rPr>
          <w:kern w:val="0"/>
          <w:lang w:bidi="ar-SA"/>
        </w:rPr>
        <w:t xml:space="preserve"> e não tocar o rosto</w:t>
      </w:r>
      <w:r w:rsidRPr="00EE0F7B">
        <w:rPr>
          <w:kern w:val="0"/>
          <w:lang w:bidi="ar-SA"/>
        </w:rPr>
        <w:t>— e ao que parece, isso tem a ver com a maneira como evoluímos.</w:t>
      </w:r>
    </w:p>
    <w:p w:rsidR="00C610B0" w:rsidRDefault="00C610B0" w:rsidP="00C610B0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Enquanto a maioria das espécies toca a região</w:t>
      </w:r>
      <w:r w:rsidR="00E04615">
        <w:rPr>
          <w:kern w:val="0"/>
          <w:lang w:bidi="ar-SA"/>
        </w:rPr>
        <w:t xml:space="preserve"> do rosto</w:t>
      </w:r>
      <w:r w:rsidRPr="00EE0F7B">
        <w:rPr>
          <w:kern w:val="0"/>
          <w:lang w:bidi="ar-SA"/>
        </w:rPr>
        <w:t xml:space="preserve"> como uma forma de manter boa aparência ou na tentativa de espantar pragas, nós fazemos isso por uma série de outras razões.</w:t>
      </w:r>
    </w:p>
    <w:p w:rsidR="00C610B0" w:rsidRPr="00EE0F7B" w:rsidRDefault="00C610B0" w:rsidP="00C610B0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Às vezes, pode ser um mecanismo para </w:t>
      </w:r>
      <w:hyperlink r:id="rId6" w:history="1">
        <w:r w:rsidRPr="00EE0F7B">
          <w:rPr>
            <w:rFonts w:ascii="inherit" w:hAnsi="inherit"/>
            <w:color w:val="222222"/>
            <w:kern w:val="0"/>
            <w:lang w:bidi="ar-SA"/>
          </w:rPr>
          <w:t>se acalmar</w:t>
        </w:r>
      </w:hyperlink>
      <w:r>
        <w:rPr>
          <w:kern w:val="0"/>
          <w:lang w:bidi="ar-SA"/>
        </w:rPr>
        <w:t xml:space="preserve">. </w:t>
      </w:r>
      <w:r w:rsidRPr="00EE0F7B">
        <w:rPr>
          <w:kern w:val="0"/>
          <w:lang w:bidi="ar-SA"/>
        </w:rPr>
        <w:t> Ou pode ser uma forma de controlar as emoções e a nossa capacidade de atenção.</w:t>
      </w:r>
    </w:p>
    <w:p w:rsidR="00C610B0" w:rsidRDefault="00C610B0" w:rsidP="00C610B0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086475" cy="3423643"/>
            <wp:effectExtent l="19050" t="0" r="9525" b="0"/>
            <wp:docPr id="18" name="Imagem 15" descr="Gorila tocando o n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rila tocando o nari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2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B0" w:rsidRPr="003101CE" w:rsidRDefault="00C610B0" w:rsidP="00C610B0">
      <w:pPr>
        <w:pStyle w:val="texto-IEIJ"/>
        <w:jc w:val="center"/>
        <w:rPr>
          <w:i/>
        </w:rPr>
      </w:pPr>
      <w:r w:rsidRPr="003101CE">
        <w:rPr>
          <w:i/>
        </w:rPr>
        <w:t xml:space="preserve">Humanos e alguns primatas não conseguem se </w:t>
      </w:r>
      <w:proofErr w:type="gramStart"/>
      <w:r w:rsidRPr="003101CE">
        <w:rPr>
          <w:i/>
        </w:rPr>
        <w:t>conter</w:t>
      </w:r>
      <w:proofErr w:type="gramEnd"/>
    </w:p>
    <w:p w:rsidR="00C610B0" w:rsidRPr="00EE0F7B" w:rsidRDefault="00C610B0" w:rsidP="00C610B0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problema com o "autotoque" é que nossos olhos, nariz e boca são portas de entrada para todo tipo de doença no nosso organismo.</w:t>
      </w:r>
    </w:p>
    <w:p w:rsidR="00C610B0" w:rsidRDefault="00C610B0" w:rsidP="00C610B0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A </w:t>
      </w:r>
      <w:proofErr w:type="spellStart"/>
      <w:r w:rsidRPr="00EE0F7B">
        <w:rPr>
          <w:kern w:val="0"/>
          <w:lang w:bidi="ar-SA"/>
        </w:rPr>
        <w:t>Covid</w:t>
      </w:r>
      <w:proofErr w:type="spellEnd"/>
      <w:r w:rsidRPr="00EE0F7B">
        <w:rPr>
          <w:kern w:val="0"/>
          <w:lang w:bidi="ar-SA"/>
        </w:rPr>
        <w:t>-19, por exemplo, é transmitida entre humanos através de pequenas gotículas que saem do nariz ou da boca de pessoas infectadas.</w:t>
      </w:r>
    </w:p>
    <w:p w:rsidR="00F70F65" w:rsidRDefault="00C610B0" w:rsidP="00F70F65">
      <w:pPr>
        <w:pStyle w:val="texto-IEIJ"/>
        <w:ind w:firstLine="708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a contaminação também acontece após tocarmos objetos ou superfícies que entraram em contato com o vírus.</w:t>
      </w:r>
    </w:p>
    <w:p w:rsidR="00F70F65" w:rsidRDefault="00F70F65" w:rsidP="00F70F65">
      <w:pPr>
        <w:pStyle w:val="texto-IEIJ"/>
        <w:ind w:firstLine="708"/>
        <w:jc w:val="both"/>
        <w:rPr>
          <w:kern w:val="0"/>
          <w:lang w:bidi="ar-SA"/>
        </w:rPr>
      </w:pPr>
    </w:p>
    <w:p w:rsidR="00F70F65" w:rsidRDefault="00F70F65" w:rsidP="00F70F65">
      <w:pPr>
        <w:pStyle w:val="texto-IEIJ"/>
        <w:ind w:firstLine="708"/>
        <w:jc w:val="both"/>
        <w:rPr>
          <w:kern w:val="0"/>
          <w:lang w:bidi="ar-SA"/>
        </w:rPr>
      </w:pPr>
    </w:p>
    <w:p w:rsidR="00F70F65" w:rsidRDefault="00F70F65" w:rsidP="00F70F65">
      <w:pPr>
        <w:pStyle w:val="texto-IEIJ"/>
        <w:ind w:firstLine="708"/>
        <w:jc w:val="both"/>
        <w:rPr>
          <w:kern w:val="0"/>
          <w:lang w:bidi="ar-SA"/>
        </w:rPr>
      </w:pPr>
    </w:p>
    <w:p w:rsidR="00F70F65" w:rsidRDefault="00F70F65" w:rsidP="00F70F65">
      <w:pPr>
        <w:pStyle w:val="texto-IEIJ"/>
        <w:ind w:firstLine="708"/>
        <w:jc w:val="both"/>
        <w:rPr>
          <w:kern w:val="0"/>
          <w:lang w:bidi="ar-SA"/>
        </w:rPr>
      </w:pPr>
      <w:r>
        <w:rPr>
          <w:kern w:val="0"/>
          <w:lang w:bidi="ar-SA"/>
        </w:rPr>
        <w:lastRenderedPageBreak/>
        <w:t>ESCREVA COM AS SUAS PALAVRAS O QUE VOCÊ ENTENDEU DO TEXTO.</w:t>
      </w:r>
    </w:p>
    <w:tbl>
      <w:tblPr>
        <w:tblStyle w:val="Tabelacomgrade"/>
        <w:tblW w:w="0" w:type="auto"/>
        <w:shd w:val="clear" w:color="auto" w:fill="FFFF00"/>
        <w:tblLook w:val="04A0"/>
      </w:tblPr>
      <w:tblGrid>
        <w:gridCol w:w="9779"/>
      </w:tblGrid>
      <w:tr w:rsidR="00F70F65" w:rsidTr="00F70F65">
        <w:tc>
          <w:tcPr>
            <w:tcW w:w="9779" w:type="dxa"/>
            <w:shd w:val="clear" w:color="auto" w:fill="FFFF00"/>
          </w:tcPr>
          <w:p w:rsidR="00F70F65" w:rsidRDefault="00F70F65" w:rsidP="00F70F65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F70F65" w:rsidTr="00F70F65">
        <w:tc>
          <w:tcPr>
            <w:tcW w:w="9779" w:type="dxa"/>
            <w:shd w:val="clear" w:color="auto" w:fill="FFFF00"/>
          </w:tcPr>
          <w:p w:rsidR="00F70F65" w:rsidRDefault="00F70F65" w:rsidP="00F70F65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F70F65" w:rsidTr="00F70F65">
        <w:tc>
          <w:tcPr>
            <w:tcW w:w="9779" w:type="dxa"/>
            <w:shd w:val="clear" w:color="auto" w:fill="FFFF00"/>
          </w:tcPr>
          <w:p w:rsidR="00F70F65" w:rsidRDefault="00F70F65" w:rsidP="00F70F65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F70F65" w:rsidTr="00F70F65">
        <w:tc>
          <w:tcPr>
            <w:tcW w:w="9779" w:type="dxa"/>
            <w:shd w:val="clear" w:color="auto" w:fill="FFFF00"/>
          </w:tcPr>
          <w:p w:rsidR="00F70F65" w:rsidRDefault="00F70F65" w:rsidP="00F70F65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F70F65" w:rsidTr="00F70F65">
        <w:tc>
          <w:tcPr>
            <w:tcW w:w="9779" w:type="dxa"/>
            <w:shd w:val="clear" w:color="auto" w:fill="FFFF00"/>
          </w:tcPr>
          <w:p w:rsidR="00F70F65" w:rsidRDefault="00F70F65" w:rsidP="00F70F65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F70F65" w:rsidTr="00F70F65">
        <w:tc>
          <w:tcPr>
            <w:tcW w:w="9779" w:type="dxa"/>
            <w:shd w:val="clear" w:color="auto" w:fill="FFFF00"/>
          </w:tcPr>
          <w:p w:rsidR="00F70F65" w:rsidRDefault="00F70F65" w:rsidP="00F70F65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F70F65" w:rsidTr="00F70F65">
        <w:tc>
          <w:tcPr>
            <w:tcW w:w="9779" w:type="dxa"/>
            <w:shd w:val="clear" w:color="auto" w:fill="FFFF00"/>
          </w:tcPr>
          <w:p w:rsidR="00F70F65" w:rsidRDefault="00F70F65" w:rsidP="00F70F65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F70F65" w:rsidTr="00F70F65">
        <w:tc>
          <w:tcPr>
            <w:tcW w:w="9779" w:type="dxa"/>
            <w:shd w:val="clear" w:color="auto" w:fill="FFFF00"/>
          </w:tcPr>
          <w:p w:rsidR="00F70F65" w:rsidRDefault="00F70F65" w:rsidP="00F70F65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F70F65" w:rsidRDefault="00F70F65" w:rsidP="00F70F65">
      <w:pPr>
        <w:pStyle w:val="texto-IEIJ"/>
        <w:jc w:val="both"/>
        <w:rPr>
          <w:kern w:val="0"/>
          <w:lang w:bidi="ar-SA"/>
        </w:rPr>
      </w:pPr>
    </w:p>
    <w:p w:rsidR="00F70F65" w:rsidRPr="00EE0F7B" w:rsidRDefault="00F70F65" w:rsidP="00F70F65">
      <w:pPr>
        <w:pStyle w:val="texto-IEIJ"/>
        <w:ind w:firstLine="708"/>
        <w:jc w:val="both"/>
        <w:rPr>
          <w:kern w:val="0"/>
          <w:lang w:bidi="ar-SA"/>
        </w:rPr>
      </w:pPr>
    </w:p>
    <w:sectPr w:rsidR="00F70F65" w:rsidRPr="00EE0F7B" w:rsidSect="00F70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74" w:rsidRDefault="00691774" w:rsidP="006B0D38">
      <w:pPr>
        <w:spacing w:before="0"/>
      </w:pPr>
      <w:r>
        <w:separator/>
      </w:r>
    </w:p>
  </w:endnote>
  <w:endnote w:type="continuationSeparator" w:id="0">
    <w:p w:rsidR="00691774" w:rsidRDefault="00691774" w:rsidP="006B0D3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65" w:rsidRDefault="00F70F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65" w:rsidRDefault="00F70F6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65" w:rsidRDefault="00F70F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74" w:rsidRDefault="00691774" w:rsidP="006B0D38">
      <w:pPr>
        <w:spacing w:before="0"/>
      </w:pPr>
      <w:r>
        <w:separator/>
      </w:r>
    </w:p>
  </w:footnote>
  <w:footnote w:type="continuationSeparator" w:id="0">
    <w:p w:rsidR="00691774" w:rsidRDefault="00691774" w:rsidP="006B0D3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65" w:rsidRDefault="00F70F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691774" w:rsidP="00F70F65">
    <w:pPr>
      <w:tabs>
        <w:tab w:val="left" w:pos="4820"/>
        <w:tab w:val="left" w:pos="7371"/>
      </w:tabs>
      <w:rPr>
        <w:rStyle w:val="RefernciaSutil"/>
        <w:rFonts w:cs="Calibri"/>
        <w:b/>
        <w:smallCap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C610B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69177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C610B0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vAlign w:val="bottom"/>
        </w:tcPr>
        <w:p w:rsidR="000C708A" w:rsidRDefault="0069177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C610B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610B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27940</wp:posOffset>
                </wp:positionV>
                <wp:extent cx="880745" cy="723900"/>
                <wp:effectExtent l="19050" t="0" r="0" b="0"/>
                <wp:wrapNone/>
                <wp:docPr id="12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610B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69177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C610B0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4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610B0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F70F65">
            <w:rPr>
              <w:rFonts w:asciiTheme="minorHAnsi" w:hAnsiTheme="minorHAnsi"/>
              <w:b/>
              <w:noProof/>
              <w:lang w:eastAsia="pt-BR" w:bidi="ar-SA"/>
            </w:rPr>
            <w:t xml:space="preserve"> CONTINUAÇÃO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91774" w:rsidP="008D1FD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C610B0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B0"/>
    <w:rsid w:val="00574446"/>
    <w:rsid w:val="005820AF"/>
    <w:rsid w:val="00691774"/>
    <w:rsid w:val="006B0D38"/>
    <w:rsid w:val="006E5F1B"/>
    <w:rsid w:val="008E4888"/>
    <w:rsid w:val="00AA4B95"/>
    <w:rsid w:val="00C610B0"/>
    <w:rsid w:val="00E04615"/>
    <w:rsid w:val="00F7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0B0"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uiPriority w:val="31"/>
    <w:rsid w:val="00C610B0"/>
    <w:rPr>
      <w:smallCaps/>
      <w:color w:val="C0504D"/>
      <w:u w:val="single"/>
    </w:rPr>
  </w:style>
  <w:style w:type="table" w:styleId="Tabelacomgrade">
    <w:name w:val="Table Grid"/>
    <w:basedOn w:val="Tabelanormal"/>
    <w:uiPriority w:val="59"/>
    <w:rsid w:val="00C6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C610B0"/>
    <w:pPr>
      <w:spacing w:before="120"/>
    </w:pPr>
    <w:rPr>
      <w:rFonts w:cs="Calibri"/>
      <w:sz w:val="28"/>
      <w:szCs w:val="28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0B0"/>
    <w:pPr>
      <w:spacing w:before="0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0B0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F70F65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70F65"/>
    <w:rPr>
      <w:rFonts w:ascii="Calibri" w:eastAsia="Arial Unicode MS" w:hAnsi="Calibri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F70F65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F70F65"/>
    <w:rPr>
      <w:rFonts w:ascii="Calibri" w:eastAsia="Arial Unicode MS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atergood.berkeley.edu/article/item/born_to_blus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2020-03-26T18:59:00Z</dcterms:created>
  <dcterms:modified xsi:type="dcterms:W3CDTF">2020-03-27T12:52:00Z</dcterms:modified>
</cp:coreProperties>
</file>