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8C620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hunger for words</w:t>
      </w:r>
    </w:p>
    <w:p w:rsidR="0069580C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  <w:r>
        <w:rPr>
          <w:noProof/>
          <w:lang w:eastAsia="pt-BR" w:bidi="ar-SA"/>
        </w:rPr>
        <w:drawing>
          <wp:inline distT="0" distB="0" distL="0" distR="0" wp14:anchorId="76F43783" wp14:editId="612E2EAC">
            <wp:extent cx="5106302" cy="7191375"/>
            <wp:effectExtent l="0" t="0" r="0" b="0"/>
            <wp:docPr id="15" name="Imagem 15" descr="International Children's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ational Children's Book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02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</w:p>
    <w:p w:rsidR="008C6206" w:rsidRPr="008C6206" w:rsidRDefault="008C6206" w:rsidP="008C6206">
      <w:pPr>
        <w:pStyle w:val="texto-IEIJ"/>
        <w:jc w:val="center"/>
        <w:rPr>
          <w:lang w:bidi="ar-SA"/>
        </w:rPr>
      </w:pPr>
      <w:proofErr w:type="spellStart"/>
      <w:r w:rsidRPr="008C6206">
        <w:rPr>
          <w:lang w:bidi="ar-SA"/>
        </w:rPr>
        <w:lastRenderedPageBreak/>
        <w:t>International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Children's</w:t>
      </w:r>
      <w:proofErr w:type="spellEnd"/>
      <w:r w:rsidRPr="008C6206">
        <w:rPr>
          <w:lang w:bidi="ar-SA"/>
        </w:rPr>
        <w:t xml:space="preserve"> Book Day</w:t>
      </w:r>
    </w:p>
    <w:p w:rsidR="008C6206" w:rsidRPr="008C6206" w:rsidRDefault="008C6206" w:rsidP="008C6206">
      <w:pPr>
        <w:pStyle w:val="texto-IEIJ"/>
        <w:ind w:firstLine="709"/>
        <w:jc w:val="both"/>
        <w:rPr>
          <w:lang w:val="en-US" w:bidi="ar-SA"/>
        </w:rPr>
      </w:pPr>
      <w:r w:rsidRPr="008C6206">
        <w:rPr>
          <w:lang w:val="en-US" w:bidi="ar-SA"/>
        </w:rPr>
        <w:t>Since 1967, on or around Hans Christian Andersen's birthday, 2 April, International Children's Book Day (ICBD) is celebrated to inspire a love of reading and to call attention to children's books.</w:t>
      </w:r>
    </w:p>
    <w:p w:rsidR="008C6206" w:rsidRPr="008C6206" w:rsidRDefault="008C6206" w:rsidP="008C6206">
      <w:pPr>
        <w:pStyle w:val="texto-IEIJ"/>
        <w:ind w:firstLine="709"/>
        <w:jc w:val="both"/>
        <w:rPr>
          <w:lang w:bidi="ar-SA"/>
        </w:rPr>
      </w:pPr>
      <w:r w:rsidRPr="008C6206">
        <w:rPr>
          <w:lang w:val="en-US" w:bidi="ar-SA"/>
        </w:rPr>
        <w:t xml:space="preserve">Each year a different National Section of IBBY has the opportunity to be the international sponsor of ICBD. </w:t>
      </w:r>
      <w:proofErr w:type="gramStart"/>
      <w:r w:rsidRPr="008C6206">
        <w:rPr>
          <w:lang w:bidi="ar-SA"/>
        </w:rPr>
        <w:t>It decides</w:t>
      </w:r>
      <w:proofErr w:type="gram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upon</w:t>
      </w:r>
      <w:proofErr w:type="spellEnd"/>
      <w:r w:rsidRPr="008C6206">
        <w:rPr>
          <w:lang w:bidi="ar-SA"/>
        </w:rPr>
        <w:t xml:space="preserve"> a </w:t>
      </w:r>
      <w:proofErr w:type="spellStart"/>
      <w:r w:rsidRPr="008C6206">
        <w:rPr>
          <w:lang w:bidi="ar-SA"/>
        </w:rPr>
        <w:t>theme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and</w:t>
      </w:r>
      <w:proofErr w:type="spellEnd"/>
      <w:r w:rsidRPr="008C6206">
        <w:rPr>
          <w:lang w:bidi="ar-SA"/>
        </w:rPr>
        <w:t xml:space="preserve"> invites a </w:t>
      </w:r>
      <w:proofErr w:type="spellStart"/>
      <w:r w:rsidRPr="008C6206">
        <w:rPr>
          <w:lang w:bidi="ar-SA"/>
        </w:rPr>
        <w:t>prominent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author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from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the</w:t>
      </w:r>
      <w:proofErr w:type="spellEnd"/>
      <w:r w:rsidRPr="008C6206">
        <w:rPr>
          <w:lang w:bidi="ar-SA"/>
        </w:rPr>
        <w:t xml:space="preserve"> host country </w:t>
      </w:r>
      <w:proofErr w:type="spellStart"/>
      <w:r w:rsidRPr="008C6206">
        <w:rPr>
          <w:lang w:bidi="ar-SA"/>
        </w:rPr>
        <w:t>to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write</w:t>
      </w:r>
      <w:proofErr w:type="spellEnd"/>
      <w:r w:rsidRPr="008C6206">
        <w:rPr>
          <w:lang w:bidi="ar-SA"/>
        </w:rPr>
        <w:t xml:space="preserve"> a </w:t>
      </w:r>
      <w:proofErr w:type="spellStart"/>
      <w:r w:rsidRPr="008C6206">
        <w:rPr>
          <w:lang w:bidi="ar-SA"/>
        </w:rPr>
        <w:t>message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to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the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children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of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the</w:t>
      </w:r>
      <w:proofErr w:type="spellEnd"/>
      <w:r w:rsidRPr="008C6206">
        <w:rPr>
          <w:lang w:bidi="ar-SA"/>
        </w:rPr>
        <w:t xml:space="preserve"> world </w:t>
      </w:r>
      <w:proofErr w:type="spellStart"/>
      <w:r w:rsidRPr="008C6206">
        <w:rPr>
          <w:lang w:bidi="ar-SA"/>
        </w:rPr>
        <w:t>and</w:t>
      </w:r>
      <w:proofErr w:type="spellEnd"/>
      <w:r w:rsidRPr="008C6206">
        <w:rPr>
          <w:lang w:bidi="ar-SA"/>
        </w:rPr>
        <w:t xml:space="preserve"> a </w:t>
      </w:r>
      <w:proofErr w:type="spellStart"/>
      <w:r w:rsidRPr="008C6206">
        <w:rPr>
          <w:lang w:bidi="ar-SA"/>
        </w:rPr>
        <w:t>well-known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illustrator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to</w:t>
      </w:r>
      <w:proofErr w:type="spellEnd"/>
      <w:r w:rsidRPr="008C6206">
        <w:rPr>
          <w:lang w:bidi="ar-SA"/>
        </w:rPr>
        <w:t xml:space="preserve"> design a </w:t>
      </w:r>
      <w:proofErr w:type="spellStart"/>
      <w:r w:rsidRPr="008C6206">
        <w:rPr>
          <w:lang w:bidi="ar-SA"/>
        </w:rPr>
        <w:t>poster</w:t>
      </w:r>
      <w:proofErr w:type="spellEnd"/>
      <w:r w:rsidRPr="008C6206">
        <w:rPr>
          <w:lang w:bidi="ar-SA"/>
        </w:rPr>
        <w:t xml:space="preserve">. </w:t>
      </w:r>
      <w:proofErr w:type="spellStart"/>
      <w:r w:rsidRPr="008C6206">
        <w:rPr>
          <w:lang w:bidi="ar-SA"/>
        </w:rPr>
        <w:t>These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materials</w:t>
      </w:r>
      <w:proofErr w:type="spellEnd"/>
      <w:r w:rsidRPr="008C6206">
        <w:rPr>
          <w:lang w:bidi="ar-SA"/>
        </w:rPr>
        <w:t xml:space="preserve"> are </w:t>
      </w:r>
      <w:proofErr w:type="spellStart"/>
      <w:r w:rsidRPr="008C6206">
        <w:rPr>
          <w:lang w:bidi="ar-SA"/>
        </w:rPr>
        <w:t>used</w:t>
      </w:r>
      <w:proofErr w:type="spellEnd"/>
      <w:r w:rsidRPr="008C6206">
        <w:rPr>
          <w:lang w:bidi="ar-SA"/>
        </w:rPr>
        <w:t xml:space="preserve"> in </w:t>
      </w:r>
      <w:proofErr w:type="spellStart"/>
      <w:r w:rsidRPr="008C6206">
        <w:rPr>
          <w:lang w:bidi="ar-SA"/>
        </w:rPr>
        <w:t>different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ways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to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promote</w:t>
      </w:r>
      <w:proofErr w:type="spellEnd"/>
      <w:r w:rsidRPr="008C6206">
        <w:rPr>
          <w:lang w:bidi="ar-SA"/>
        </w:rPr>
        <w:t xml:space="preserve"> books </w:t>
      </w:r>
      <w:proofErr w:type="spellStart"/>
      <w:r w:rsidRPr="008C6206">
        <w:rPr>
          <w:lang w:bidi="ar-SA"/>
        </w:rPr>
        <w:t>and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reading</w:t>
      </w:r>
      <w:proofErr w:type="spellEnd"/>
      <w:r w:rsidRPr="008C6206">
        <w:rPr>
          <w:lang w:bidi="ar-SA"/>
        </w:rPr>
        <w:t xml:space="preserve">. </w:t>
      </w:r>
      <w:proofErr w:type="spellStart"/>
      <w:r w:rsidRPr="008C6206">
        <w:rPr>
          <w:lang w:bidi="ar-SA"/>
        </w:rPr>
        <w:t>Many</w:t>
      </w:r>
      <w:proofErr w:type="spellEnd"/>
      <w:r w:rsidRPr="008C6206">
        <w:rPr>
          <w:lang w:bidi="ar-SA"/>
        </w:rPr>
        <w:t xml:space="preserve"> IBBY </w:t>
      </w:r>
      <w:proofErr w:type="spellStart"/>
      <w:r w:rsidRPr="008C6206">
        <w:rPr>
          <w:lang w:bidi="ar-SA"/>
        </w:rPr>
        <w:t>Sections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promote</w:t>
      </w:r>
      <w:proofErr w:type="spellEnd"/>
      <w:r w:rsidRPr="008C6206">
        <w:rPr>
          <w:lang w:bidi="ar-SA"/>
        </w:rPr>
        <w:t xml:space="preserve"> ICBD </w:t>
      </w:r>
      <w:proofErr w:type="spellStart"/>
      <w:r w:rsidRPr="008C6206">
        <w:rPr>
          <w:lang w:bidi="ar-SA"/>
        </w:rPr>
        <w:t>through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the</w:t>
      </w:r>
      <w:proofErr w:type="spellEnd"/>
      <w:r w:rsidRPr="008C6206">
        <w:rPr>
          <w:lang w:bidi="ar-SA"/>
        </w:rPr>
        <w:t xml:space="preserve"> media </w:t>
      </w:r>
      <w:proofErr w:type="spellStart"/>
      <w:r w:rsidRPr="008C6206">
        <w:rPr>
          <w:lang w:bidi="ar-SA"/>
        </w:rPr>
        <w:t>and</w:t>
      </w:r>
      <w:proofErr w:type="spellEnd"/>
      <w:r w:rsidRPr="008C6206">
        <w:rPr>
          <w:lang w:bidi="ar-SA"/>
        </w:rPr>
        <w:t xml:space="preserve"> organize </w:t>
      </w:r>
      <w:proofErr w:type="spellStart"/>
      <w:r w:rsidRPr="008C6206">
        <w:rPr>
          <w:lang w:bidi="ar-SA"/>
        </w:rPr>
        <w:t>activities</w:t>
      </w:r>
      <w:proofErr w:type="spellEnd"/>
      <w:r w:rsidRPr="008C6206">
        <w:rPr>
          <w:lang w:bidi="ar-SA"/>
        </w:rPr>
        <w:t xml:space="preserve"> in </w:t>
      </w:r>
      <w:proofErr w:type="spellStart"/>
      <w:r w:rsidRPr="008C6206">
        <w:rPr>
          <w:lang w:bidi="ar-SA"/>
        </w:rPr>
        <w:t>schools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and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public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libraries</w:t>
      </w:r>
      <w:proofErr w:type="spellEnd"/>
      <w:r w:rsidRPr="008C6206">
        <w:rPr>
          <w:lang w:bidi="ar-SA"/>
        </w:rPr>
        <w:t xml:space="preserve">. </w:t>
      </w:r>
      <w:proofErr w:type="spellStart"/>
      <w:r w:rsidRPr="008C6206">
        <w:rPr>
          <w:lang w:bidi="ar-SA"/>
        </w:rPr>
        <w:t>Often</w:t>
      </w:r>
      <w:proofErr w:type="spellEnd"/>
      <w:r w:rsidRPr="008C6206">
        <w:rPr>
          <w:lang w:bidi="ar-SA"/>
        </w:rPr>
        <w:t xml:space="preserve"> ICBD </w:t>
      </w:r>
      <w:proofErr w:type="spellStart"/>
      <w:r w:rsidRPr="008C6206">
        <w:rPr>
          <w:lang w:bidi="ar-SA"/>
        </w:rPr>
        <w:t>is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linked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to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celebrations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around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children's</w:t>
      </w:r>
      <w:proofErr w:type="spellEnd"/>
      <w:r w:rsidRPr="008C6206">
        <w:rPr>
          <w:lang w:bidi="ar-SA"/>
        </w:rPr>
        <w:t xml:space="preserve"> books </w:t>
      </w:r>
      <w:proofErr w:type="spellStart"/>
      <w:r w:rsidRPr="008C6206">
        <w:rPr>
          <w:lang w:bidi="ar-SA"/>
        </w:rPr>
        <w:t>and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other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special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events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that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may</w:t>
      </w:r>
      <w:proofErr w:type="spellEnd"/>
      <w:r w:rsidRPr="008C6206">
        <w:rPr>
          <w:lang w:bidi="ar-SA"/>
        </w:rPr>
        <w:t xml:space="preserve"> include </w:t>
      </w:r>
      <w:proofErr w:type="spellStart"/>
      <w:r w:rsidRPr="008C6206">
        <w:rPr>
          <w:lang w:bidi="ar-SA"/>
        </w:rPr>
        <w:t>encounters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with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authors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and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illustrators</w:t>
      </w:r>
      <w:proofErr w:type="spellEnd"/>
      <w:r w:rsidRPr="008C6206">
        <w:rPr>
          <w:lang w:bidi="ar-SA"/>
        </w:rPr>
        <w:t xml:space="preserve">, </w:t>
      </w:r>
      <w:proofErr w:type="spellStart"/>
      <w:r w:rsidRPr="008C6206">
        <w:rPr>
          <w:lang w:bidi="ar-SA"/>
        </w:rPr>
        <w:t>writing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competitions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or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announcements</w:t>
      </w:r>
      <w:proofErr w:type="spellEnd"/>
      <w:r w:rsidRPr="008C6206">
        <w:rPr>
          <w:lang w:bidi="ar-SA"/>
        </w:rPr>
        <w:t xml:space="preserve"> </w:t>
      </w:r>
      <w:proofErr w:type="spellStart"/>
      <w:r w:rsidRPr="008C6206">
        <w:rPr>
          <w:lang w:bidi="ar-SA"/>
        </w:rPr>
        <w:t>of</w:t>
      </w:r>
      <w:proofErr w:type="spellEnd"/>
      <w:r w:rsidRPr="008C6206">
        <w:rPr>
          <w:lang w:bidi="ar-SA"/>
        </w:rPr>
        <w:t xml:space="preserve"> book </w:t>
      </w:r>
      <w:proofErr w:type="spellStart"/>
      <w:r w:rsidRPr="008C6206">
        <w:rPr>
          <w:lang w:bidi="ar-SA"/>
        </w:rPr>
        <w:t>awards</w:t>
      </w:r>
      <w:proofErr w:type="spellEnd"/>
      <w:r w:rsidRPr="008C6206">
        <w:rPr>
          <w:lang w:bidi="ar-SA"/>
        </w:rPr>
        <w:t>.</w:t>
      </w:r>
    </w:p>
    <w:p w:rsidR="008C6206" w:rsidRPr="008C6206" w:rsidRDefault="008C6206" w:rsidP="008C6206">
      <w:pPr>
        <w:pStyle w:val="texto-IEIJ"/>
        <w:ind w:firstLine="709"/>
        <w:jc w:val="both"/>
        <w:rPr>
          <w:lang w:val="en-US" w:bidi="ar-SA"/>
        </w:rPr>
      </w:pPr>
      <w:r w:rsidRPr="008C6206">
        <w:rPr>
          <w:lang w:val="en-US" w:bidi="ar-SA"/>
        </w:rPr>
        <w:t>IBBY Slovenia is the sponsor for </w:t>
      </w:r>
      <w:hyperlink r:id="rId10" w:tgtFrame="_self" w:tooltip="Opens internal link in current window" w:history="1">
        <w:r w:rsidRPr="008C6206">
          <w:rPr>
            <w:lang w:val="en-US" w:bidi="ar-SA"/>
          </w:rPr>
          <w:t>International Children's Book Day 2020.</w:t>
        </w:r>
      </w:hyperlink>
    </w:p>
    <w:p w:rsidR="008C6206" w:rsidRPr="008C6206" w:rsidRDefault="008C6206" w:rsidP="006A4179">
      <w:pPr>
        <w:spacing w:before="120"/>
        <w:rPr>
          <w:rFonts w:cs="Calibri"/>
          <w:b/>
          <w:kern w:val="2"/>
          <w:sz w:val="22"/>
          <w:szCs w:val="22"/>
          <w:lang w:val="en-US" w:eastAsia="hi-IN"/>
        </w:rPr>
      </w:pPr>
    </w:p>
    <w:p w:rsidR="006A4179" w:rsidRPr="006A4179" w:rsidRDefault="006A4179" w:rsidP="006A4179">
      <w:pPr>
        <w:spacing w:before="120"/>
        <w:rPr>
          <w:rFonts w:cs="Calibri"/>
          <w:b/>
          <w:kern w:val="2"/>
          <w:sz w:val="22"/>
          <w:szCs w:val="22"/>
          <w:lang w:eastAsia="hi-IN"/>
        </w:rPr>
      </w:pPr>
      <w:r w:rsidRPr="006A4179">
        <w:rPr>
          <w:rFonts w:cs="Calibri"/>
          <w:b/>
          <w:kern w:val="2"/>
          <w:sz w:val="22"/>
          <w:szCs w:val="22"/>
          <w:lang w:eastAsia="hi-IN"/>
        </w:rPr>
        <w:t xml:space="preserve">Texto </w:t>
      </w:r>
      <w:proofErr w:type="gramStart"/>
      <w:r w:rsidRPr="006A4179">
        <w:rPr>
          <w:rFonts w:cs="Calibri"/>
          <w:b/>
          <w:kern w:val="2"/>
          <w:sz w:val="22"/>
          <w:szCs w:val="22"/>
          <w:lang w:eastAsia="hi-IN"/>
        </w:rPr>
        <w:t>1</w:t>
      </w:r>
      <w:proofErr w:type="gramEnd"/>
    </w:p>
    <w:p w:rsidR="006A4179" w:rsidRPr="006A4179" w:rsidRDefault="006A4179" w:rsidP="006A4179">
      <w:pPr>
        <w:spacing w:before="120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6A4179">
        <w:rPr>
          <w:rFonts w:cs="Calibri"/>
          <w:i/>
          <w:kern w:val="32"/>
          <w:sz w:val="32"/>
          <w:szCs w:val="32"/>
          <w:u w:val="double"/>
          <w:lang w:eastAsia="hi-IN"/>
        </w:rPr>
        <w:t>Uma pequena História do Livro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Por volta de 1456, em </w:t>
      </w:r>
      <w:proofErr w:type="spellStart"/>
      <w:r w:rsidRPr="006A4179">
        <w:rPr>
          <w:rFonts w:cs="Calibri"/>
          <w:kern w:val="2"/>
          <w:sz w:val="22"/>
          <w:szCs w:val="22"/>
          <w:lang w:eastAsia="hi-IN"/>
        </w:rPr>
        <w:t>Mogúncia</w:t>
      </w:r>
      <w:proofErr w:type="spellEnd"/>
      <w:r w:rsidRPr="006A4179">
        <w:rPr>
          <w:rFonts w:cs="Calibri"/>
          <w:kern w:val="2"/>
          <w:sz w:val="22"/>
          <w:szCs w:val="22"/>
          <w:lang w:eastAsia="hi-IN"/>
        </w:rPr>
        <w:t xml:space="preserve">, na Alemanha, um ourives chamado </w:t>
      </w:r>
      <w:proofErr w:type="spellStart"/>
      <w:r w:rsidRPr="006A4179">
        <w:rPr>
          <w:rFonts w:cs="Calibri"/>
          <w:kern w:val="2"/>
          <w:sz w:val="22"/>
          <w:szCs w:val="22"/>
          <w:lang w:eastAsia="hi-IN"/>
        </w:rPr>
        <w:t>Johannes</w:t>
      </w:r>
      <w:proofErr w:type="spellEnd"/>
      <w:r w:rsidRPr="006A4179">
        <w:rPr>
          <w:rFonts w:cs="Calibri"/>
          <w:kern w:val="2"/>
          <w:sz w:val="22"/>
          <w:szCs w:val="22"/>
          <w:lang w:eastAsia="hi-IN"/>
        </w:rPr>
        <w:t xml:space="preserve"> Gutenberg fundiu letras góticas de metal e compôs com elas o texto da Bíblia. Cobrindo os tipos com tinta, pressionou-os sobre uma superfície de papel com a ajuda de uma prensa de rosca. Dominando o sistema, que já era conhecido no Oriente, usou-o para imprimir cem exemplares do livro sagrado. Eram dois volumes, com um total de 1282 páginas. Era a chamada “Bíblia de 42 linhas”, que surpreende até hoje pela excelência de seu padrão gráfico. Mais que uma reinvenção da leitura e uma espécie de marco zero da história da indústria livreira como a conhecemos hoje, os chamados tipos móveis logo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mostrar-se-iam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um passo sem precedentes na história. 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Ao longo dos dois séculos seguintes, 16 e 17, a imprensa facilitou sobremaneira a consolidação do Renascimento, ao possibilitar velocidade inédita à difusão das novas ideias políticas religiosas e estéticas que surgiam como alicerces do pensamento moderno – das teses do agostiniano alemão Martinho Lutero, sementes da Reforma Protestante, de 1517, ao Tratado da Pintura, do artista e humanista italiano Leonardo Da Vinci (1551). Em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inúmeras frentes do conhecimento, o florescer urbano e intelectual que sucedeu ao mundo feudal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foi movido a páginas impressas. 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É perfeitamente possível afirmar que, ao multiplicar a escala e a velocidade de propagação do conhecimento, em um mundo em que os homens ainda guerreavam de armadura e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viajavam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a cavalo, o advento da imprensa inaugurou a primeira revolução da informação de que se tem notícia. Guardadas as devidas proporções, um fenômeno de impacto comparável à aceleração na velocidade de transmissão de conteúdos e à democratização do acesso ao conhecimento que a internet propiciou. 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Ainda assim, o livro tal qual o conhecemos, folhas de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papel impressas e encadernadas num volume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>, era, ao nascer, um objeto para poucos. A singela tiragem inicial da Bíblia de Gutenberg, 100 exemplares, comprova esse reduzido alcance da impressão em seus primórdios. Poucos exemplares dessa obra pioneira sobreviveram à ação dos séculos. (...)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A demanda crescente fez com que a tipologia mudasse: o gótico foi abandonado em favor dos tipos romano e itálico, mais simples. As máquinas de impressão tornaram-se contínuas e mais velozes; a composição do papel avançou de trapos para a polpa da madeira; surgiram os gêneros literários, como o romance. Seguiram-se novos formatos e esquemas de comercialização. (...)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O livro estampa o que seus autores pensam e multiplica esse pensamento por milhares de cópias, muitas vezes questionando dogmas e pulverizando paradigmas. (...)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Compartilhar as desditas de personagens universais, conhecer lugares imaginários, penetrar memórias alheias, aprender ciências e doutrinas, alimentar a alma, lapidar o espírito crítico. Os livros nos permitem saltos de transcendência – e, como se isso já não fosse o bastante, proporcionam prazer. Para um objeto a um só tempo tão singelo e explosivo, dos poucos que mantiveram sua essência ao longo dos séculos, não é pouco poder. </w:t>
      </w:r>
    </w:p>
    <w:p w:rsidR="006A4179" w:rsidRPr="006A4179" w:rsidRDefault="006A4179" w:rsidP="006A4179">
      <w:pPr>
        <w:spacing w:before="120"/>
        <w:ind w:firstLine="709"/>
        <w:jc w:val="right"/>
        <w:rPr>
          <w:rFonts w:cs="Calibri"/>
          <w:kern w:val="2"/>
          <w:sz w:val="20"/>
          <w:szCs w:val="22"/>
          <w:lang w:eastAsia="hi-IN"/>
        </w:rPr>
      </w:pPr>
      <w:r w:rsidRPr="006A4179">
        <w:rPr>
          <w:rFonts w:cs="Calibri"/>
          <w:kern w:val="2"/>
          <w:sz w:val="20"/>
          <w:szCs w:val="22"/>
          <w:lang w:eastAsia="hi-IN"/>
        </w:rPr>
        <w:lastRenderedPageBreak/>
        <w:t>Uma pequena história do livro – IBEP Companhia Editora Nacional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</w:p>
    <w:p w:rsidR="006A4179" w:rsidRPr="006A4179" w:rsidRDefault="006A4179" w:rsidP="006A4179">
      <w:pPr>
        <w:spacing w:before="120"/>
        <w:jc w:val="both"/>
        <w:rPr>
          <w:rFonts w:cs="Calibri"/>
          <w:b/>
          <w:kern w:val="2"/>
          <w:sz w:val="22"/>
          <w:szCs w:val="22"/>
          <w:lang w:eastAsia="hi-IN"/>
        </w:rPr>
      </w:pPr>
      <w:r w:rsidRPr="006A4179">
        <w:rPr>
          <w:rFonts w:cs="Calibri"/>
          <w:b/>
          <w:kern w:val="2"/>
          <w:sz w:val="22"/>
          <w:szCs w:val="22"/>
          <w:lang w:eastAsia="hi-IN"/>
        </w:rPr>
        <w:t xml:space="preserve">Texto </w:t>
      </w:r>
      <w:proofErr w:type="gramStart"/>
      <w:r w:rsidRPr="006A4179">
        <w:rPr>
          <w:rFonts w:cs="Calibri"/>
          <w:b/>
          <w:kern w:val="2"/>
          <w:sz w:val="22"/>
          <w:szCs w:val="22"/>
          <w:lang w:eastAsia="hi-IN"/>
        </w:rPr>
        <w:t>2</w:t>
      </w:r>
      <w:proofErr w:type="gramEnd"/>
    </w:p>
    <w:p w:rsidR="006A4179" w:rsidRPr="006A4179" w:rsidRDefault="006A4179" w:rsidP="006A4179">
      <w:pPr>
        <w:spacing w:before="120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6A4179">
        <w:rPr>
          <w:rFonts w:cs="Calibri"/>
          <w:i/>
          <w:kern w:val="32"/>
          <w:sz w:val="32"/>
          <w:szCs w:val="32"/>
          <w:u w:val="double"/>
          <w:lang w:eastAsia="hi-IN"/>
        </w:rPr>
        <w:t>Escrever...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É uma coisa curiosa um escritor. Uma contradição e também um absurdo. Escrever é também não falar. É se calar. É berrar sem fazer barulho. É muitas vezes o repouso de um escritor, e ele tem muito a ouvir. Não fala muito porque é impossível falar com alguém de um livro que se escreveu e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 xml:space="preserve"> sobretudo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de um livro que está se escrevendo. É impossível. É o contrário do cinema, o contrário do teatro, e de outros espetáculos. É o contrário de todas as leituras. É o mais difícil de tudo. É o pior. Porque um livro é o desconhecido, é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a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noite, é fechado, é assim. É o livro que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avança,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que cresce, que avança nas direções que se supõe exploradas, que avança para seu próprio destino e do seu autor, agora aniquilado pela sua publicação: a separação entre os dois, o livro sonhado, como a criança recém-nascida, sempre a mais animada. 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Um livro aberto é também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a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noite.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Não sei por que, estas palavras que acabei de dizer me fazem chorar.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Escrever apesar do desespero. Não: com desespero. Que desespero, eu não sei, não sei o nome disso. Escrever ao lado daquilo que precede o escrito é sempre estraga-lo. E é preciso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 xml:space="preserve"> no entanto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aceitar isto: estragar o fracasso significa retornar para um outro livro, para um outro possível deste mesmo livro. 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Esse perder-se de si no interior da casa não é voluntário, em absoluto. Eu não dizia: “Estou fechada aqui todos os dias do ano.” Eu não 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>estava,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 isso seria dizer algo falso. Ia dar voltas, ia ao café. Mas ao mesmo tempo estava aqui. A aldeia e a casa são semelhantes. E a mesa diante do tanque. E a tinta preta. E o papel branco é parecido. Com os livros, não, de repente, com eles nunca é parecido. </w:t>
      </w:r>
    </w:p>
    <w:p w:rsidR="006A4179" w:rsidRPr="006A4179" w:rsidRDefault="006A4179" w:rsidP="006A4179">
      <w:pPr>
        <w:spacing w:before="120"/>
        <w:jc w:val="right"/>
        <w:rPr>
          <w:rFonts w:cs="Calibri"/>
          <w:kern w:val="2"/>
          <w:sz w:val="20"/>
          <w:szCs w:val="22"/>
          <w:lang w:eastAsia="hi-IN"/>
        </w:rPr>
      </w:pPr>
      <w:r w:rsidRPr="006A4179">
        <w:rPr>
          <w:rFonts w:cs="Calibri"/>
          <w:kern w:val="2"/>
          <w:sz w:val="20"/>
          <w:szCs w:val="22"/>
          <w:lang w:eastAsia="hi-IN"/>
        </w:rPr>
        <w:t>Escrever – Marguerite Duras</w:t>
      </w:r>
    </w:p>
    <w:p w:rsidR="006A4179" w:rsidRPr="006A4179" w:rsidRDefault="006A4179" w:rsidP="006A4179">
      <w:pPr>
        <w:spacing w:before="120"/>
        <w:jc w:val="both"/>
        <w:rPr>
          <w:rFonts w:cs="Calibri"/>
          <w:b/>
          <w:kern w:val="2"/>
          <w:sz w:val="22"/>
          <w:szCs w:val="22"/>
          <w:lang w:eastAsia="hi-IN"/>
        </w:rPr>
      </w:pPr>
      <w:r w:rsidRPr="006A4179">
        <w:rPr>
          <w:rFonts w:cs="Calibri"/>
          <w:b/>
          <w:kern w:val="2"/>
          <w:sz w:val="22"/>
          <w:szCs w:val="22"/>
          <w:lang w:eastAsia="hi-IN"/>
        </w:rPr>
        <w:t xml:space="preserve">Texto </w:t>
      </w:r>
      <w:proofErr w:type="gramStart"/>
      <w:r w:rsidRPr="006A4179">
        <w:rPr>
          <w:rFonts w:cs="Calibri"/>
          <w:b/>
          <w:kern w:val="2"/>
          <w:sz w:val="22"/>
          <w:szCs w:val="22"/>
          <w:lang w:eastAsia="hi-IN"/>
        </w:rPr>
        <w:t>3</w:t>
      </w:r>
      <w:proofErr w:type="gramEnd"/>
    </w:p>
    <w:p w:rsidR="006A4179" w:rsidRPr="006A4179" w:rsidRDefault="006A4179" w:rsidP="006A4179">
      <w:pPr>
        <w:spacing w:before="120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6A4179">
        <w:rPr>
          <w:rFonts w:cs="Calibri"/>
          <w:i/>
          <w:kern w:val="32"/>
          <w:sz w:val="32"/>
          <w:szCs w:val="32"/>
          <w:u w:val="double"/>
          <w:lang w:eastAsia="hi-IN"/>
        </w:rPr>
        <w:t>Como e Por que ler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Não existe apenas um modo de ler bem, mas existe uma razão precípua por que ler. Nos dias de hoje, a informação é facilmente encontrada, mas onde está a sabedoria? Se tivermos sorte, encontraremos um professor que nos oriente, mas, em última análise, vemo-nos sós, seguindo nosso caminho sem mediadores. Ler bem é um dos grandes prazeres da solidão; ao menos segundo a minha experiência, é o mais benéfico dos prazeres. Ler nos conduz à alteridade, seja à nossa própria</w:t>
      </w:r>
      <w:proofErr w:type="gramStart"/>
      <w:r w:rsidRPr="006A4179">
        <w:rPr>
          <w:rFonts w:cs="Calibri"/>
          <w:kern w:val="2"/>
          <w:sz w:val="22"/>
          <w:szCs w:val="22"/>
          <w:lang w:eastAsia="hi-IN"/>
        </w:rPr>
        <w:t xml:space="preserve">  </w:t>
      </w:r>
      <w:proofErr w:type="gramEnd"/>
      <w:r w:rsidRPr="006A4179">
        <w:rPr>
          <w:rFonts w:cs="Calibri"/>
          <w:kern w:val="2"/>
          <w:sz w:val="22"/>
          <w:szCs w:val="22"/>
          <w:lang w:eastAsia="hi-IN"/>
        </w:rPr>
        <w:t xml:space="preserve">ou à de nossos amigos, presentes ou futuros. Literatura de ficção é alteridade e, portanto, alivia a solidão. Lemos não apenas, porque, na vida real, jamais conheceremos tanto as pessoas como através da leitura, mas, também, porque amizades são frágeis, propensas a diminuir em número, a desaparecer, a sucumbir em decorrência da distância, do tempo, das divergências, dos desafetos da vida familiar e amorosa. 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(...)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Caso pretenda desenvolver a capacidade de formar opiniões críticas e chegar a avaliações pessoais, o ser humano precisará continuar a ler por iniciativa própria. Como ler (se o faz de maneira proficiente ou não) e o que ler dependerá, inteiramente, da vontade do leitor, mas o porquê da leitura deve ser a satisfação de interesses pessoais. Seja apenas por divertimento ou com algum objetivo específico, em dado momento, passamos a ler apressadamente. Os indivíduos que, por iniciativa própria, leem a Bíblia, talvez constituam exemplos mais evidentes de leitura com objetivo específico do que os leitores de Shakespeare; no entanto, a busca é a mesma. Uma das funções da leitura é nos preparar para uma transformação, e a transformação final tem caráter universal. 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(...)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 xml:space="preserve">Leia plenamente, não para acreditar, nem para concordar, tampouco para refutar, mas para buscar empatia com a natureza que escreve e lê. </w:t>
      </w:r>
    </w:p>
    <w:p w:rsidR="006A4179" w:rsidRPr="006A4179" w:rsidRDefault="006A4179" w:rsidP="006A4179">
      <w:pPr>
        <w:spacing w:before="120"/>
        <w:ind w:firstLine="709"/>
        <w:jc w:val="right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Como e por que ler – Harold Bloom</w:t>
      </w:r>
    </w:p>
    <w:p w:rsidR="006A4179" w:rsidRPr="006A4179" w:rsidRDefault="006A4179" w:rsidP="006A4179">
      <w:pPr>
        <w:spacing w:before="120"/>
        <w:ind w:firstLine="709"/>
        <w:jc w:val="both"/>
        <w:rPr>
          <w:rFonts w:cs="Calibri"/>
          <w:kern w:val="2"/>
          <w:sz w:val="22"/>
          <w:szCs w:val="22"/>
          <w:lang w:eastAsia="hi-IN"/>
        </w:rPr>
      </w:pPr>
    </w:p>
    <w:p w:rsidR="006A4179" w:rsidRPr="006A4179" w:rsidRDefault="006A4179" w:rsidP="006A4179">
      <w:pPr>
        <w:spacing w:before="120"/>
        <w:jc w:val="both"/>
        <w:rPr>
          <w:rFonts w:cs="Calibri"/>
          <w:b/>
          <w:kern w:val="2"/>
          <w:sz w:val="22"/>
          <w:szCs w:val="22"/>
          <w:lang w:eastAsia="hi-IN"/>
        </w:rPr>
      </w:pPr>
      <w:r w:rsidRPr="006A4179">
        <w:rPr>
          <w:rFonts w:cs="Calibri"/>
          <w:b/>
          <w:kern w:val="2"/>
          <w:sz w:val="22"/>
          <w:szCs w:val="22"/>
          <w:lang w:eastAsia="hi-IN"/>
        </w:rPr>
        <w:t xml:space="preserve">Texto </w:t>
      </w:r>
      <w:proofErr w:type="gramStart"/>
      <w:r w:rsidRPr="006A4179">
        <w:rPr>
          <w:rFonts w:cs="Calibri"/>
          <w:b/>
          <w:kern w:val="2"/>
          <w:sz w:val="22"/>
          <w:szCs w:val="22"/>
          <w:lang w:eastAsia="hi-IN"/>
        </w:rPr>
        <w:t>4</w:t>
      </w:r>
      <w:proofErr w:type="gramEnd"/>
    </w:p>
    <w:p w:rsidR="006A4179" w:rsidRDefault="006A4179" w:rsidP="006A4179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  <w:r w:rsidRPr="006A4179">
        <w:rPr>
          <w:rFonts w:ascii="Times New Roman" w:hAnsi="Times New Roman"/>
          <w:noProof/>
          <w:kern w:val="2"/>
          <w:lang w:eastAsia="pt-BR" w:bidi="ar-SA"/>
        </w:rPr>
        <w:drawing>
          <wp:inline distT="0" distB="0" distL="0" distR="0" wp14:anchorId="7768B16E" wp14:editId="066BC63F">
            <wp:extent cx="5905500" cy="7286625"/>
            <wp:effectExtent l="0" t="0" r="0" b="9525"/>
            <wp:docPr id="16" name="Imagem 16" descr="http://www.estadao.com.br/fotos/RedacaoMiojoVerm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stadao.com.br/fotos/RedacaoMiojoVerm62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179">
        <w:rPr>
          <w:rFonts w:ascii="Times New Roman" w:hAnsi="Times New Roman"/>
          <w:kern w:val="2"/>
          <w:lang w:eastAsia="hi-IN"/>
        </w:rPr>
        <w:t>Redaç</w:t>
      </w:r>
      <w:r>
        <w:rPr>
          <w:rFonts w:ascii="Times New Roman" w:hAnsi="Times New Roman"/>
          <w:kern w:val="2"/>
          <w:lang w:eastAsia="hi-IN"/>
        </w:rPr>
        <w:t>ão Enem</w:t>
      </w: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  <w:r>
        <w:rPr>
          <w:rFonts w:cs="Calibri"/>
          <w:i/>
          <w:kern w:val="32"/>
          <w:sz w:val="36"/>
          <w:szCs w:val="32"/>
          <w:u w:val="double"/>
          <w:lang w:eastAsia="hi-IN"/>
        </w:rPr>
        <w:lastRenderedPageBreak/>
        <w:t>Proposta</w:t>
      </w: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</w:p>
    <w:p w:rsidR="006A4179" w:rsidRPr="006A4179" w:rsidRDefault="006A4179" w:rsidP="006A4179">
      <w:pPr>
        <w:spacing w:before="120"/>
        <w:jc w:val="both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6A4179">
        <w:rPr>
          <w:rFonts w:cs="Calibri"/>
          <w:i/>
          <w:kern w:val="32"/>
          <w:sz w:val="32"/>
          <w:szCs w:val="32"/>
          <w:u w:val="double"/>
          <w:lang w:eastAsia="hi-IN"/>
        </w:rPr>
        <w:t>LENDO O TEXTO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lang w:eastAsia="hi-IN"/>
        </w:rPr>
      </w:pPr>
      <w:proofErr w:type="gramStart"/>
      <w:r w:rsidRPr="006A4179">
        <w:rPr>
          <w:rFonts w:cs="Calibri"/>
          <w:kern w:val="2"/>
          <w:lang w:eastAsia="hi-IN"/>
        </w:rPr>
        <w:t>1</w:t>
      </w:r>
      <w:proofErr w:type="gramEnd"/>
      <w:r w:rsidRPr="006A4179">
        <w:rPr>
          <w:rFonts w:cs="Calibri"/>
          <w:kern w:val="2"/>
          <w:lang w:eastAsia="hi-IN"/>
        </w:rPr>
        <w:t xml:space="preserve">) Leia todo os textos uma vez, sem parar, para que você tenha uma visão geral do assunto de cada um deles. 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lang w:eastAsia="hi-IN"/>
        </w:rPr>
      </w:pPr>
      <w:r w:rsidRPr="006A4179">
        <w:rPr>
          <w:rFonts w:cs="Calibri"/>
          <w:kern w:val="2"/>
          <w:lang w:eastAsia="hi-IN"/>
        </w:rPr>
        <w:t xml:space="preserve">Não sublinhe o texto nessa primeira leitura, pois tudo parecerá importante. 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lang w:eastAsia="hi-IN"/>
        </w:rPr>
      </w:pPr>
      <w:proofErr w:type="gramStart"/>
      <w:r w:rsidRPr="006A4179">
        <w:rPr>
          <w:rFonts w:cs="Calibri"/>
          <w:kern w:val="2"/>
          <w:lang w:eastAsia="hi-IN"/>
        </w:rPr>
        <w:t>2</w:t>
      </w:r>
      <w:proofErr w:type="gramEnd"/>
      <w:r w:rsidRPr="006A4179">
        <w:rPr>
          <w:rFonts w:cs="Calibri"/>
          <w:kern w:val="2"/>
          <w:lang w:eastAsia="hi-IN"/>
        </w:rPr>
        <w:t xml:space="preserve">) Leia-os novamente, agora por parágrafos e sublinhe as palavras que, sem elas seria impossível compreender o parágrafo. 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lang w:eastAsia="hi-IN"/>
        </w:rPr>
      </w:pPr>
      <w:proofErr w:type="gramStart"/>
      <w:r w:rsidRPr="006A4179">
        <w:rPr>
          <w:rFonts w:cs="Calibri"/>
          <w:kern w:val="2"/>
          <w:lang w:eastAsia="hi-IN"/>
        </w:rPr>
        <w:t>3</w:t>
      </w:r>
      <w:proofErr w:type="gramEnd"/>
      <w:r w:rsidRPr="006A4179">
        <w:rPr>
          <w:rFonts w:cs="Calibri"/>
          <w:kern w:val="2"/>
          <w:lang w:eastAsia="hi-IN"/>
        </w:rPr>
        <w:t>) Enumere os parágrafos de cada um dos textos.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sz w:val="12"/>
          <w:lang w:eastAsia="hi-IN"/>
        </w:rPr>
      </w:pPr>
    </w:p>
    <w:p w:rsidR="006A4179" w:rsidRPr="006A4179" w:rsidRDefault="006A4179" w:rsidP="006A4179">
      <w:pPr>
        <w:spacing w:before="120"/>
        <w:jc w:val="both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6A4179">
        <w:rPr>
          <w:rFonts w:cs="Calibri"/>
          <w:i/>
          <w:kern w:val="32"/>
          <w:sz w:val="32"/>
          <w:szCs w:val="32"/>
          <w:u w:val="double"/>
          <w:lang w:eastAsia="hi-IN"/>
        </w:rPr>
        <w:t>FAZENDO O RESUMO</w:t>
      </w:r>
    </w:p>
    <w:p w:rsidR="006A4179" w:rsidRPr="006A4179" w:rsidRDefault="000D7957" w:rsidP="006A4179">
      <w:pPr>
        <w:spacing w:before="120"/>
        <w:jc w:val="both"/>
        <w:rPr>
          <w:rFonts w:cs="Calibri"/>
          <w:kern w:val="2"/>
          <w:lang w:eastAsia="hi-IN"/>
        </w:rPr>
      </w:pPr>
      <w:bookmarkStart w:id="0" w:name="_GoBack"/>
      <w:bookmarkEnd w:id="0"/>
      <w:r w:rsidRPr="006A4179">
        <w:rPr>
          <w:rFonts w:cs="Calibri"/>
          <w:kern w:val="2"/>
          <w:lang w:eastAsia="hi-IN"/>
        </w:rPr>
        <w:t>À medida que</w:t>
      </w:r>
      <w:r w:rsidR="006A4179" w:rsidRPr="006A4179">
        <w:rPr>
          <w:rFonts w:cs="Calibri"/>
          <w:kern w:val="2"/>
          <w:lang w:eastAsia="hi-IN"/>
        </w:rPr>
        <w:t xml:space="preserve"> for fazendo seu resumo observe a boa ortografia e a caligrafia (traçado adequado das letras).</w:t>
      </w:r>
    </w:p>
    <w:p w:rsidR="006A4179" w:rsidRPr="006A4179" w:rsidRDefault="006A4179" w:rsidP="006A4179">
      <w:pPr>
        <w:numPr>
          <w:ilvl w:val="0"/>
          <w:numId w:val="38"/>
        </w:numPr>
        <w:spacing w:before="120"/>
        <w:jc w:val="both"/>
        <w:rPr>
          <w:rFonts w:cs="Calibri"/>
          <w:kern w:val="2"/>
          <w:lang w:eastAsia="hi-IN"/>
        </w:rPr>
      </w:pPr>
      <w:r w:rsidRPr="006A4179">
        <w:rPr>
          <w:rFonts w:cs="Calibri"/>
          <w:kern w:val="2"/>
          <w:lang w:eastAsia="hi-IN"/>
        </w:rPr>
        <w:t xml:space="preserve">Faça o resumo, escrevendo o que você entendeu de cada um dos parágrafos dos textos </w:t>
      </w:r>
      <w:proofErr w:type="gramStart"/>
      <w:r w:rsidRPr="006A4179">
        <w:rPr>
          <w:rFonts w:cs="Calibri"/>
          <w:kern w:val="2"/>
          <w:lang w:eastAsia="hi-IN"/>
        </w:rPr>
        <w:t>1</w:t>
      </w:r>
      <w:proofErr w:type="gramEnd"/>
      <w:r w:rsidRPr="006A4179">
        <w:rPr>
          <w:rFonts w:cs="Calibri"/>
          <w:kern w:val="2"/>
          <w:lang w:eastAsia="hi-IN"/>
        </w:rPr>
        <w:t xml:space="preserve"> e 3, sem perder o foco das palavras que você sublinhou. </w:t>
      </w:r>
    </w:p>
    <w:p w:rsidR="006A4179" w:rsidRPr="006A4179" w:rsidRDefault="006A4179" w:rsidP="006A4179">
      <w:pPr>
        <w:numPr>
          <w:ilvl w:val="0"/>
          <w:numId w:val="38"/>
        </w:numPr>
        <w:spacing w:before="120"/>
        <w:jc w:val="both"/>
        <w:rPr>
          <w:rFonts w:cs="Calibri"/>
          <w:kern w:val="2"/>
          <w:lang w:eastAsia="hi-IN"/>
        </w:rPr>
      </w:pPr>
      <w:r w:rsidRPr="006A4179">
        <w:rPr>
          <w:rFonts w:cs="Calibri"/>
          <w:kern w:val="2"/>
          <w:lang w:eastAsia="hi-IN"/>
        </w:rPr>
        <w:t xml:space="preserve">Escreva, em no máximo </w:t>
      </w:r>
      <w:proofErr w:type="gramStart"/>
      <w:r w:rsidRPr="006A4179">
        <w:rPr>
          <w:rFonts w:cs="Calibri"/>
          <w:kern w:val="2"/>
          <w:lang w:eastAsia="hi-IN"/>
        </w:rPr>
        <w:t>2</w:t>
      </w:r>
      <w:proofErr w:type="gramEnd"/>
      <w:r w:rsidRPr="006A4179">
        <w:rPr>
          <w:rFonts w:cs="Calibri"/>
          <w:kern w:val="2"/>
          <w:lang w:eastAsia="hi-IN"/>
        </w:rPr>
        <w:t xml:space="preserve"> parágrafos, o que significa escrever para a autora Marguerite Duras (texto 2).</w:t>
      </w:r>
    </w:p>
    <w:p w:rsidR="006A4179" w:rsidRPr="006A4179" w:rsidRDefault="006A4179" w:rsidP="006A4179">
      <w:pPr>
        <w:numPr>
          <w:ilvl w:val="0"/>
          <w:numId w:val="38"/>
        </w:numPr>
        <w:spacing w:before="120"/>
        <w:jc w:val="both"/>
        <w:rPr>
          <w:rFonts w:cs="Calibri"/>
          <w:kern w:val="2"/>
          <w:lang w:eastAsia="hi-IN"/>
        </w:rPr>
      </w:pPr>
      <w:r w:rsidRPr="006A4179">
        <w:rPr>
          <w:rFonts w:cs="Calibri"/>
          <w:kern w:val="2"/>
          <w:lang w:eastAsia="hi-IN"/>
        </w:rPr>
        <w:t xml:space="preserve">Explique do que trata o texto </w:t>
      </w:r>
      <w:proofErr w:type="gramStart"/>
      <w:r w:rsidRPr="006A4179">
        <w:rPr>
          <w:rFonts w:cs="Calibri"/>
          <w:kern w:val="2"/>
          <w:lang w:eastAsia="hi-IN"/>
        </w:rPr>
        <w:t>4</w:t>
      </w:r>
      <w:proofErr w:type="gramEnd"/>
      <w:r w:rsidRPr="006A4179">
        <w:rPr>
          <w:rFonts w:cs="Calibri"/>
          <w:kern w:val="2"/>
          <w:lang w:eastAsia="hi-IN"/>
        </w:rPr>
        <w:t xml:space="preserve">. 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lang w:eastAsia="hi-IN"/>
        </w:rPr>
      </w:pPr>
      <w:r w:rsidRPr="006A4179">
        <w:rPr>
          <w:rFonts w:cs="Calibri"/>
          <w:kern w:val="2"/>
          <w:lang w:eastAsia="hi-IN"/>
        </w:rPr>
        <w:t xml:space="preserve">Não se esqueça de enumerar os parágrafos em sua folha e de apresentar todos os subtítulos. 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lang w:eastAsia="hi-IN"/>
        </w:rPr>
      </w:pPr>
      <w:r w:rsidRPr="006A4179">
        <w:rPr>
          <w:rFonts w:cs="Calibri"/>
          <w:kern w:val="2"/>
          <w:lang w:eastAsia="hi-IN"/>
        </w:rPr>
        <w:t xml:space="preserve">Seja imparcial. Escreva, apenas, as ideias de cada um dos autores. 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sz w:val="12"/>
          <w:lang w:eastAsia="hi-IN"/>
        </w:rPr>
      </w:pPr>
    </w:p>
    <w:p w:rsidR="006A4179" w:rsidRPr="006A4179" w:rsidRDefault="006A4179" w:rsidP="006A4179">
      <w:pPr>
        <w:spacing w:before="120"/>
        <w:jc w:val="both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6A4179">
        <w:rPr>
          <w:rFonts w:cs="Calibri"/>
          <w:i/>
          <w:kern w:val="32"/>
          <w:sz w:val="32"/>
          <w:szCs w:val="32"/>
          <w:u w:val="double"/>
          <w:lang w:eastAsia="hi-IN"/>
        </w:rPr>
        <w:t>REVISANDO O RESUMO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szCs w:val="22"/>
          <w:lang w:eastAsia="hi-IN"/>
        </w:rPr>
      </w:pPr>
      <w:r w:rsidRPr="006A4179">
        <w:rPr>
          <w:rFonts w:cs="Calibri"/>
          <w:kern w:val="2"/>
          <w:szCs w:val="22"/>
          <w:lang w:eastAsia="hi-IN"/>
        </w:rPr>
        <w:t xml:space="preserve">Quando seu trabalho estiver pronto, leia-o por inteiro. Verifique se é possível compreender o sentido de cada frase, ou se ficou alguma ideia incompleta. </w:t>
      </w:r>
    </w:p>
    <w:p w:rsidR="006A4179" w:rsidRPr="006A4179" w:rsidRDefault="006A4179" w:rsidP="006A4179">
      <w:pPr>
        <w:spacing w:before="120"/>
        <w:jc w:val="both"/>
        <w:rPr>
          <w:rFonts w:cs="Calibri"/>
          <w:kern w:val="2"/>
          <w:sz w:val="22"/>
          <w:szCs w:val="22"/>
          <w:lang w:eastAsia="hi-IN"/>
        </w:rPr>
      </w:pPr>
      <w:r w:rsidRPr="006A4179">
        <w:rPr>
          <w:rFonts w:cs="Calibri"/>
          <w:kern w:val="2"/>
          <w:sz w:val="22"/>
          <w:szCs w:val="22"/>
          <w:lang w:eastAsia="hi-IN"/>
        </w:rPr>
        <w:t>Bom trabalho!</w:t>
      </w:r>
    </w:p>
    <w:p w:rsidR="006A4179" w:rsidRDefault="006A4179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</w:p>
    <w:sectPr w:rsidR="006A4179" w:rsidSect="00E2379F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86" w:rsidRDefault="00E76786">
      <w:r>
        <w:separator/>
      </w:r>
    </w:p>
  </w:endnote>
  <w:endnote w:type="continuationSeparator" w:id="0">
    <w:p w:rsidR="00E76786" w:rsidRDefault="00E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86" w:rsidRDefault="00E76786">
      <w:r>
        <w:separator/>
      </w:r>
    </w:p>
  </w:footnote>
  <w:footnote w:type="continuationSeparator" w:id="0">
    <w:p w:rsidR="00E76786" w:rsidRDefault="00E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E76786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47018972" r:id="rId2"/>
            </w:pict>
          </w:r>
          <w:r w:rsidR="002348EF"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DE3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E323F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F53957A" wp14:editId="449A5418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10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30"/>
  </w:num>
  <w:num w:numId="6">
    <w:abstractNumId w:val="29"/>
  </w:num>
  <w:num w:numId="7">
    <w:abstractNumId w:val="25"/>
  </w:num>
  <w:num w:numId="8">
    <w:abstractNumId w:val="26"/>
  </w:num>
  <w:num w:numId="9">
    <w:abstractNumId w:val="20"/>
  </w:num>
  <w:num w:numId="10">
    <w:abstractNumId w:val="21"/>
  </w:num>
  <w:num w:numId="11">
    <w:abstractNumId w:val="32"/>
  </w:num>
  <w:num w:numId="12">
    <w:abstractNumId w:val="6"/>
  </w:num>
  <w:num w:numId="13">
    <w:abstractNumId w:val="36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35"/>
  </w:num>
  <w:num w:numId="19">
    <w:abstractNumId w:val="9"/>
  </w:num>
  <w:num w:numId="20">
    <w:abstractNumId w:val="22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4"/>
  </w:num>
  <w:num w:numId="24">
    <w:abstractNumId w:val="28"/>
  </w:num>
  <w:num w:numId="25">
    <w:abstractNumId w:val="23"/>
  </w:num>
  <w:num w:numId="26">
    <w:abstractNumId w:val="33"/>
  </w:num>
  <w:num w:numId="27">
    <w:abstractNumId w:val="4"/>
  </w:num>
  <w:num w:numId="28">
    <w:abstractNumId w:val="14"/>
  </w:num>
  <w:num w:numId="29">
    <w:abstractNumId w:val="24"/>
  </w:num>
  <w:num w:numId="30">
    <w:abstractNumId w:val="31"/>
  </w:num>
  <w:num w:numId="31">
    <w:abstractNumId w:val="11"/>
  </w:num>
  <w:num w:numId="32">
    <w:abstractNumId w:val="8"/>
  </w:num>
  <w:num w:numId="33">
    <w:abstractNumId w:val="27"/>
  </w:num>
  <w:num w:numId="34">
    <w:abstractNumId w:val="18"/>
  </w:num>
  <w:num w:numId="35">
    <w:abstractNumId w:val="1"/>
  </w:num>
  <w:num w:numId="36">
    <w:abstractNumId w:val="16"/>
  </w:num>
  <w:num w:numId="37">
    <w:abstractNumId w:val="1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957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323F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76786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estadao.com.br/fotos/RedacaoMiojoVerm620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bby.org/awards-activities/activities/international-childrens-book-day/2020-icbd-sloven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B284-56C2-49E6-A8B2-8862673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5</Pages>
  <Words>1410</Words>
  <Characters>7619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2020-03-29T23:30:00Z</dcterms:created>
  <dcterms:modified xsi:type="dcterms:W3CDTF">2020-03-29T23:30:00Z</dcterms:modified>
</cp:coreProperties>
</file>