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D31" w:rsidRDefault="00991D31" w:rsidP="00991D31">
      <w:pPr>
        <w:pStyle w:val="Ttulo1"/>
        <w:shd w:val="clear" w:color="auto" w:fill="000000"/>
        <w:spacing w:before="0"/>
        <w:jc w:val="center"/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</w:pP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What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is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the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proofErr w:type="gram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summer</w:t>
      </w:r>
      <w:proofErr w:type="spellEnd"/>
      <w:proofErr w:type="gram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solstice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?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Here’s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what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you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need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 xml:space="preserve"> to </w:t>
      </w:r>
      <w:proofErr w:type="spellStart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know</w:t>
      </w:r>
      <w:proofErr w:type="spellEnd"/>
      <w:r>
        <w:rPr>
          <w:rFonts w:ascii="Franklin Gothic Medium" w:hAnsi="Franklin Gothic Medium"/>
          <w:b w:val="0"/>
          <w:bCs w:val="0"/>
          <w:color w:val="FFFFFF"/>
          <w:sz w:val="57"/>
          <w:szCs w:val="57"/>
        </w:rPr>
        <w:t>.</w:t>
      </w:r>
    </w:p>
    <w:p w:rsidR="00991D31" w:rsidRDefault="00991D31" w:rsidP="00991D31">
      <w:pPr>
        <w:pStyle w:val="Ttulo2"/>
        <w:shd w:val="clear" w:color="auto" w:fill="000000"/>
        <w:spacing w:before="0"/>
        <w:jc w:val="center"/>
        <w:rPr>
          <w:rFonts w:ascii="Franklin Gothic Medium" w:hAnsi="Franklin Gothic Medium"/>
          <w:color w:val="FFFFFF"/>
          <w:spacing w:val="2"/>
        </w:rPr>
      </w:pPr>
      <w:proofErr w:type="spellStart"/>
      <w:r>
        <w:rPr>
          <w:rFonts w:ascii="Franklin Gothic Medium" w:hAnsi="Franklin Gothic Medium"/>
          <w:color w:val="FFFFFF"/>
          <w:spacing w:val="2"/>
        </w:rPr>
        <w:t>Once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a </w:t>
      </w:r>
      <w:proofErr w:type="spellStart"/>
      <w:r>
        <w:rPr>
          <w:rFonts w:ascii="Franklin Gothic Medium" w:hAnsi="Franklin Gothic Medium"/>
          <w:color w:val="FFFFFF"/>
          <w:spacing w:val="2"/>
        </w:rPr>
        <w:t>year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, </w:t>
      </w:r>
      <w:proofErr w:type="spellStart"/>
      <w:r>
        <w:rPr>
          <w:rFonts w:ascii="Franklin Gothic Medium" w:hAnsi="Franklin Gothic Medium"/>
          <w:color w:val="FFFFFF"/>
          <w:spacing w:val="2"/>
        </w:rPr>
        <w:t>an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astronomical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alignment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ushers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in </w:t>
      </w:r>
      <w:proofErr w:type="spellStart"/>
      <w:r>
        <w:rPr>
          <w:rFonts w:ascii="Franklin Gothic Medium" w:hAnsi="Franklin Gothic Medium"/>
          <w:color w:val="FFFFFF"/>
          <w:spacing w:val="2"/>
        </w:rPr>
        <w:t>this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seasonal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change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that’s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celebrated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across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the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world—and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</w:t>
      </w:r>
      <w:proofErr w:type="spellStart"/>
      <w:r>
        <w:rPr>
          <w:rFonts w:ascii="Franklin Gothic Medium" w:hAnsi="Franklin Gothic Medium"/>
          <w:color w:val="FFFFFF"/>
          <w:spacing w:val="2"/>
        </w:rPr>
        <w:t>shrouded</w:t>
      </w:r>
      <w:proofErr w:type="spellEnd"/>
      <w:r>
        <w:rPr>
          <w:rFonts w:ascii="Franklin Gothic Medium" w:hAnsi="Franklin Gothic Medium"/>
          <w:color w:val="FFFFFF"/>
          <w:spacing w:val="2"/>
        </w:rPr>
        <w:t xml:space="preserve"> in </w:t>
      </w:r>
      <w:proofErr w:type="spellStart"/>
      <w:r>
        <w:rPr>
          <w:rFonts w:ascii="Franklin Gothic Medium" w:hAnsi="Franklin Gothic Medium"/>
          <w:color w:val="FFFFFF"/>
          <w:spacing w:val="2"/>
        </w:rPr>
        <w:t>myth</w:t>
      </w:r>
      <w:proofErr w:type="spellEnd"/>
      <w:r>
        <w:rPr>
          <w:rFonts w:ascii="Franklin Gothic Medium" w:hAnsi="Franklin Gothic Medium"/>
          <w:color w:val="FFFFFF"/>
          <w:spacing w:val="2"/>
        </w:rPr>
        <w:t>.</w:t>
      </w:r>
    </w:p>
    <w:p w:rsidR="00991D31" w:rsidRDefault="00991D31" w:rsidP="00150014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15050" cy="346710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D31" w:rsidRDefault="00991D31" w:rsidP="00150014">
      <w:pPr>
        <w:pStyle w:val="03Texto-IEIJ"/>
        <w:rPr>
          <w:szCs w:val="43"/>
        </w:rPr>
      </w:pP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solstice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?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solstice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proofErr w:type="gramStart"/>
      <w:r>
        <w:t>day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?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what</w:t>
      </w:r>
      <w:proofErr w:type="spellEnd"/>
      <w:r>
        <w:t xml:space="preserve"> causes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biannual</w:t>
      </w:r>
      <w:proofErr w:type="spellEnd"/>
      <w:r>
        <w:t xml:space="preserve">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shortest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991D31" w:rsidRDefault="00991D31" w:rsidP="00150014">
      <w:pPr>
        <w:pStyle w:val="03Texto-IEIJ"/>
      </w:pPr>
      <w:r w:rsidRPr="00991D31">
        <w:rPr>
          <w:szCs w:val="43"/>
        </w:rPr>
        <w:t>Assista ao vídeo em:</w:t>
      </w:r>
      <w:r>
        <w:rPr>
          <w:b/>
          <w:szCs w:val="43"/>
        </w:rPr>
        <w:t xml:space="preserve"> </w:t>
      </w:r>
      <w:hyperlink r:id="rId9" w:history="1">
        <w:r w:rsidRPr="00991D31">
          <w:rPr>
            <w:color w:val="0000FF"/>
            <w:u w:val="single"/>
          </w:rPr>
          <w:t>https://www.nationalgeographic.com/science/space/what-is-summer-winter-solstice-answer-might-surprise-you/</w:t>
        </w:r>
      </w:hyperlink>
    </w:p>
    <w:p w:rsidR="00991D31" w:rsidRDefault="00991D31" w:rsidP="00150014">
      <w:pPr>
        <w:pStyle w:val="03Texto-IEIJ"/>
      </w:pPr>
    </w:p>
    <w:p w:rsidR="00F7194C" w:rsidRPr="00150014" w:rsidRDefault="00F7194C" w:rsidP="00150014">
      <w:pPr>
        <w:pStyle w:val="03Texto-IEIJ"/>
        <w:ind w:firstLine="709"/>
        <w:rPr>
          <w:color w:val="auto"/>
        </w:rPr>
      </w:pPr>
      <w:r w:rsidRPr="00150014">
        <w:rPr>
          <w:color w:val="auto"/>
        </w:rPr>
        <w:t>O solstício é um momento, com dia, mês, hora e segundo muito bem determinados por cálculos astronômicos. Não é um período. Então, não é correto dizer “entramos no solstício”. Você pode dizer passamos (com a ideia de um momento) pelo solstício de verão, ou solstício de inverno, e entramos (ideia de um período que vai se prolongar) no verão  ou no inverno, dependendo da época do ano e em qual hemisfério você estiver.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Em que época do ano </w:t>
      </w:r>
      <w:proofErr w:type="gramStart"/>
      <w:r w:rsidRPr="00150014">
        <w:rPr>
          <w:color w:val="auto"/>
        </w:rPr>
        <w:t>ocorrem</w:t>
      </w:r>
      <w:proofErr w:type="gramEnd"/>
      <w:r w:rsidRPr="00150014">
        <w:rPr>
          <w:color w:val="auto"/>
        </w:rPr>
        <w:t xml:space="preserve"> os solstícios?</w:t>
      </w:r>
    </w:p>
    <w:p w:rsidR="00F7194C" w:rsidRPr="00150014" w:rsidRDefault="00F7194C" w:rsidP="00150014">
      <w:pPr>
        <w:pStyle w:val="03Texto-IEIJ"/>
        <w:ind w:firstLine="709"/>
        <w:rPr>
          <w:color w:val="auto"/>
        </w:rPr>
      </w:pPr>
      <w:r w:rsidRPr="00150014">
        <w:rPr>
          <w:color w:val="auto"/>
        </w:rPr>
        <w:t>No hemisfério que estiver iniciando o verão, o solstício de verão ocorre em dezembro. </w:t>
      </w:r>
    </w:p>
    <w:p w:rsidR="00F7194C" w:rsidRPr="00150014" w:rsidRDefault="00F7194C" w:rsidP="00150014">
      <w:pPr>
        <w:pStyle w:val="03Texto-IEIJ"/>
        <w:ind w:firstLine="709"/>
        <w:rPr>
          <w:color w:val="auto"/>
        </w:rPr>
      </w:pPr>
      <w:r w:rsidRPr="00150014">
        <w:rPr>
          <w:color w:val="auto"/>
        </w:rPr>
        <w:lastRenderedPageBreak/>
        <w:t>No hemisfério que estiver começando o início o inverno, o solstício de inverno ocorre no mês de junho.</w:t>
      </w:r>
    </w:p>
    <w:p w:rsidR="00F7194C" w:rsidRPr="00150014" w:rsidRDefault="00F7194C" w:rsidP="00150014">
      <w:pPr>
        <w:pStyle w:val="03Texto-IEIJ"/>
        <w:ind w:firstLine="709"/>
        <w:rPr>
          <w:color w:val="auto"/>
        </w:rPr>
      </w:pPr>
      <w:r w:rsidRPr="00150014">
        <w:rPr>
          <w:color w:val="auto"/>
        </w:rPr>
        <w:t>Se imaginarmos o movimento aparente do Sol no horizonte, o solstício é o limite máximo do posicionamento do Sol, quando ele está na sua posição mais ao sul ou mais ao norte, dependendo da época do ano.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No solstício de verão, o Sol atinge seu limite máximo ao sul. No solstício de inverno, o Sol atinge seu limite máximo mais ao norte. Esse dia é o dia mais longo do ano, com o menor número de horas de noite, com sol abaixo da linha do horizonte.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O hemisfério que está no verão, está mais voltado para  sol e recebe a maior densidade de raios solares. A imagem abaixo representa a situação no solstício de junho, início do inverno no Hemisfério Sul e início do verão no Hemisfério Norte.</w:t>
      </w:r>
    </w:p>
    <w:p w:rsidR="00F7194C" w:rsidRPr="00150014" w:rsidRDefault="00F7194C" w:rsidP="00150014">
      <w:pPr>
        <w:pStyle w:val="03Texto-IEIJ"/>
        <w:rPr>
          <w:rStyle w:val="Hyperlink"/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fldChar w:fldCharType="begin"/>
      </w:r>
      <w:r w:rsidRPr="00150014">
        <w:rPr>
          <w:color w:val="auto"/>
        </w:rPr>
        <w:instrText xml:space="preserve"> HYPERLINK "https://www.climatempo.com.br/noticias" \t "_blank" </w:instrText>
      </w:r>
      <w:r w:rsidRPr="00150014">
        <w:rPr>
          <w:color w:val="auto"/>
        </w:rPr>
        <w:fldChar w:fldCharType="separate"/>
      </w:r>
      <w:r w:rsidRPr="00150014">
        <w:rPr>
          <w:rStyle w:val="Hyperlink"/>
          <w:color w:val="auto"/>
        </w:rPr>
        <w:drawing>
          <wp:inline distT="0" distB="0" distL="0" distR="0">
            <wp:extent cx="6096000" cy="3200400"/>
            <wp:effectExtent l="19050" t="0" r="0" b="0"/>
            <wp:docPr id="31" name="Imagem 31" descr="https://imagens.climatempo.com.br/climapress/galeria/2020/06/503a3de1009d697c521e18d13d17584a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ns.climatempo.com.br/climapress/galeria/2020/06/503a3de1009d697c521e18d13d17584a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fldChar w:fldCharType="end"/>
      </w:r>
      <w:r w:rsidRPr="00150014">
        <w:rPr>
          <w:color w:val="auto"/>
        </w:rPr>
        <w:t>Posição relativa do Sol e da Terra no solstício de junho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 </w:t>
      </w:r>
      <w:r w:rsidRPr="00150014">
        <w:rPr>
          <w:color w:val="auto"/>
        </w:rPr>
        <w:tab/>
        <w:t>No ano de 2020, no Hemisfério Sul, o solstício de inverno ocorre em 20 de junho, às 18h44, pelo horário de Brasília. O solstício de verão ocorre no dia 21 de dezembro às 7h02, pelo horário de Brasília.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No Hemisfério Norte, o solstício de verão ocorre em 20 de junho, às 18h44, pelo horário de Brasília. O solstício de inverno ocorre no dia 21 de dezembro às 7h02, pelo horário de Brasília.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A palavra solstício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A palavra “solstício” vem do latim; é  formada pela junção do substantivo sol e do verbo </w:t>
      </w:r>
      <w:proofErr w:type="spellStart"/>
      <w:r w:rsidRPr="00150014">
        <w:rPr>
          <w:color w:val="auto"/>
        </w:rPr>
        <w:t>sistere</w:t>
      </w:r>
      <w:proofErr w:type="spellEnd"/>
      <w:r w:rsidRPr="00150014">
        <w:rPr>
          <w:color w:val="auto"/>
        </w:rPr>
        <w:t>, no sentido de firmar-se, deter-se, permanecer (no mesmo lugar).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Desta forma, "solstício" pode ser entendido como “sol que se detém em um lugar” ou “o sol parado”.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Astronomicamente o solstício é um momento específico, com data, hora, minuto e segundo previamente determinados, que dependem exclusivamente da posição relativa entre o Sol e a Terra.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O cálculo para saber o dia e o horário dos solstícios é feito pelos astrônomos e não pelos meteorologistas.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lastRenderedPageBreak/>
        <w:t>Dois solstícios por ano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Cada hemisfério do nosso planeta passa por dois solstícios em um ano.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O solstício de verão é o que chamamos de início do verão no calendário civil que usamos diariamente. O solstício de inverno é o que conhecemos como início do inverno.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O solstício de verão e de inverno são datas com dia e horário determinados por cálculos feitos por astrônomos.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Na mesma data, hora, minuto e segundo em que o Hemisfério Sul passa pelo solstício de inverno, o Hemisfério Norte passa pelo solstício de verão. Da mesma forma, no mesmo dia, hora, minuto e segundo que o Hemisfério Sul estiver passando pelo solstício de verão, o Hemisfério Norte estará passando pelo solstício de inverno.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Astronomia define a data das estações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A data e o horário do início e do fim das estações do ano é um cálculo feito pelos astrônomos e não pelos meteorologistas. Este cálculo leva em consideração o movimento de translação da Terra em torno do Sol. Pode-se saber a data e hora do início das estações com muitos anos de antecedência.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Os meteorologistas trabalham com as mudanças do tempo de um dia para o outro, de uma semana para outra, com as variações do clima de uma estação para outra. Porém, as mudanças meteorológicas não obedecem aos cálculos astronômicos. Nem sempre o frio mais intenso ocorre no auge do inverno e nem sempre o calor mais forte é no verão.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Por que ocorrem as estações do ano?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As estações do ano ocorrem por causa da inclinação do eixo central da Terra. Este eixo faz um ângulo de 23,5° em relação à linha do plano do sol. </w:t>
      </w:r>
      <w:proofErr w:type="gramStart"/>
      <w:r w:rsidRPr="00150014">
        <w:rPr>
          <w:color w:val="auto"/>
        </w:rPr>
        <w:t> </w:t>
      </w:r>
    </w:p>
    <w:p w:rsidR="00F7194C" w:rsidRPr="00150014" w:rsidRDefault="00F7194C" w:rsidP="00150014">
      <w:pPr>
        <w:pStyle w:val="03Texto-IEIJ"/>
        <w:rPr>
          <w:color w:val="auto"/>
        </w:rPr>
      </w:pPr>
      <w:proofErr w:type="gramEnd"/>
      <w:r w:rsidRPr="00150014">
        <w:rPr>
          <w:color w:val="auto"/>
        </w:rPr>
        <w:t> 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drawing>
          <wp:inline distT="0" distB="0" distL="0" distR="0">
            <wp:extent cx="6096000" cy="3495675"/>
            <wp:effectExtent l="19050" t="0" r="0" b="0"/>
            <wp:docPr id="32" name="Imagem 32" descr="https://imagens.climatempo.com.br/climapress/galeria/2020/06/cb95a0ff5b05f33a40c01a45bb6d076b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imagens.climatempo.com.br/climapress/galeria/2020/06/cb95a0ff5b05f33a40c01a45bb6d076b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Os solstícios ocorrem em junho e em dezembro. Os equinócios ocorrem em março e em setembro.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 Dias </w:t>
      </w:r>
      <w:proofErr w:type="gramStart"/>
      <w:r w:rsidRPr="00150014">
        <w:rPr>
          <w:color w:val="auto"/>
        </w:rPr>
        <w:t>longos, noites curtas</w:t>
      </w:r>
      <w:proofErr w:type="gramEnd"/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É nos dias próximos ao solstício de verão que temos os dias mais longos do ano, com </w:t>
      </w:r>
      <w:r w:rsidRPr="00150014">
        <w:rPr>
          <w:color w:val="auto"/>
        </w:rPr>
        <w:lastRenderedPageBreak/>
        <w:t>o maior número de horas de sol.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Nos dias próximos ao solstício de inverno temos os dias mais curtos do ano, com o menor número de horas de sol.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A quantidade de horas de sol é chamada de insolação.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>A diferença entre o tamanho do dia e da noite ao longo do ano é muito nítida no centro-sul do Brasil, mas pouco perceptível nos estados do Norte e do Nordeste. </w:t>
      </w:r>
    </w:p>
    <w:p w:rsidR="00F7194C" w:rsidRPr="00150014" w:rsidRDefault="00F7194C" w:rsidP="00150014">
      <w:pPr>
        <w:pStyle w:val="03Texto-IEIJ"/>
        <w:rPr>
          <w:color w:val="auto"/>
        </w:rPr>
      </w:pPr>
      <w:r w:rsidRPr="00150014">
        <w:rPr>
          <w:color w:val="auto"/>
        </w:rPr>
        <w:t> </w:t>
      </w:r>
      <w:r w:rsidRPr="00150014">
        <w:rPr>
          <w:color w:val="auto"/>
        </w:rPr>
        <w:tab/>
        <w:t xml:space="preserve">O número de horas de sol depende da latitude, que é </w:t>
      </w:r>
      <w:proofErr w:type="gramStart"/>
      <w:r w:rsidRPr="00150014">
        <w:rPr>
          <w:color w:val="auto"/>
        </w:rPr>
        <w:t>a</w:t>
      </w:r>
      <w:proofErr w:type="gramEnd"/>
      <w:r w:rsidRPr="00150014">
        <w:rPr>
          <w:color w:val="auto"/>
        </w:rPr>
        <w:t> distância em relação à Linha do Equador terrestre.</w:t>
      </w:r>
    </w:p>
    <w:p w:rsidR="00150014" w:rsidRPr="00150014" w:rsidRDefault="00150014" w:rsidP="00150014">
      <w:pPr>
        <w:pStyle w:val="03Texto-IEIJ"/>
        <w:rPr>
          <w:color w:val="auto"/>
        </w:rPr>
      </w:pPr>
      <w:r w:rsidRPr="00150014">
        <w:rPr>
          <w:color w:val="auto"/>
        </w:rPr>
        <w:tab/>
        <w:t>No dia do </w:t>
      </w:r>
      <w:r w:rsidRPr="00150014">
        <w:rPr>
          <w:rStyle w:val="Forte"/>
          <w:b w:val="0"/>
          <w:color w:val="auto"/>
        </w:rPr>
        <w:t>solstício de verão</w:t>
      </w:r>
      <w:r w:rsidRPr="00150014">
        <w:rPr>
          <w:color w:val="auto"/>
        </w:rPr>
        <w:t>, quanto mais longe da linha do Equador, maior o número de horas de sol, </w:t>
      </w:r>
      <w:r w:rsidRPr="00150014">
        <w:rPr>
          <w:rStyle w:val="Forte"/>
          <w:b w:val="0"/>
          <w:color w:val="auto"/>
        </w:rPr>
        <w:t>maior é a duração do dia</w:t>
      </w:r>
      <w:r w:rsidRPr="00150014">
        <w:rPr>
          <w:color w:val="auto"/>
        </w:rPr>
        <w:t>. No </w:t>
      </w:r>
      <w:r w:rsidRPr="00150014">
        <w:rPr>
          <w:rStyle w:val="Forte"/>
          <w:b w:val="0"/>
          <w:color w:val="auto"/>
        </w:rPr>
        <w:t>solstício de inverno</w:t>
      </w:r>
      <w:r w:rsidRPr="00150014">
        <w:rPr>
          <w:color w:val="auto"/>
        </w:rPr>
        <w:t> é o contrário: quanto </w:t>
      </w:r>
      <w:r w:rsidRPr="00150014">
        <w:rPr>
          <w:rStyle w:val="Forte"/>
          <w:b w:val="0"/>
          <w:color w:val="auto"/>
        </w:rPr>
        <w:t>mais longe do Equador</w:t>
      </w:r>
      <w:r w:rsidRPr="00150014">
        <w:rPr>
          <w:color w:val="auto"/>
        </w:rPr>
        <w:t> Terrestre, </w:t>
      </w:r>
      <w:r w:rsidRPr="00150014">
        <w:rPr>
          <w:rStyle w:val="Forte"/>
          <w:b w:val="0"/>
          <w:color w:val="auto"/>
        </w:rPr>
        <w:t>menor o número de horas de sol.</w:t>
      </w:r>
    </w:p>
    <w:p w:rsidR="00991D31" w:rsidRPr="00150014" w:rsidRDefault="00991D31" w:rsidP="00150014">
      <w:pPr>
        <w:pStyle w:val="03Texto-IEIJ"/>
        <w:rPr>
          <w:color w:val="auto"/>
        </w:rPr>
      </w:pPr>
    </w:p>
    <w:p w:rsidR="00991D31" w:rsidRPr="00150014" w:rsidRDefault="00991D31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Proposta: </w:t>
      </w:r>
    </w:p>
    <w:p w:rsidR="00991D31" w:rsidRPr="00150014" w:rsidRDefault="00991D31" w:rsidP="00150014">
      <w:pPr>
        <w:pStyle w:val="03Texto-IEIJ"/>
        <w:rPr>
          <w:color w:val="auto"/>
        </w:rPr>
      </w:pPr>
      <w:r w:rsidRPr="00150014">
        <w:rPr>
          <w:color w:val="auto"/>
        </w:rPr>
        <w:tab/>
        <w:t xml:space="preserve">Leia o texto todo, sem se preocupar em traduzi-lo. Basta que você entenda o conteúdo. </w:t>
      </w:r>
    </w:p>
    <w:p w:rsidR="00991D31" w:rsidRPr="00150014" w:rsidRDefault="00991D31" w:rsidP="00150014">
      <w:pPr>
        <w:pStyle w:val="03Texto-IEIJ"/>
        <w:rPr>
          <w:color w:val="auto"/>
        </w:rPr>
      </w:pPr>
      <w:r w:rsidRPr="00150014">
        <w:rPr>
          <w:color w:val="auto"/>
        </w:rPr>
        <w:tab/>
        <w:t xml:space="preserve">Responda as seguintes questões: </w:t>
      </w:r>
    </w:p>
    <w:p w:rsidR="00991D31" w:rsidRPr="00150014" w:rsidRDefault="00991D31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1. O que são solstícios? </w:t>
      </w:r>
    </w:p>
    <w:p w:rsidR="00F7194C" w:rsidRPr="00150014" w:rsidRDefault="00991D31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2. </w:t>
      </w:r>
      <w:r w:rsidR="00F7194C" w:rsidRPr="00150014">
        <w:rPr>
          <w:color w:val="auto"/>
        </w:rPr>
        <w:t xml:space="preserve">Em que época do ano </w:t>
      </w:r>
      <w:proofErr w:type="gramStart"/>
      <w:r w:rsidR="00F7194C" w:rsidRPr="00150014">
        <w:rPr>
          <w:color w:val="auto"/>
        </w:rPr>
        <w:t>ocorrem</w:t>
      </w:r>
      <w:proofErr w:type="gramEnd"/>
      <w:r w:rsidR="00F7194C" w:rsidRPr="00150014">
        <w:rPr>
          <w:color w:val="auto"/>
        </w:rPr>
        <w:t xml:space="preserve"> os solstícios?</w:t>
      </w:r>
    </w:p>
    <w:p w:rsidR="00991D31" w:rsidRPr="00150014" w:rsidRDefault="00991D31" w:rsidP="00150014">
      <w:pPr>
        <w:pStyle w:val="03Texto-IEIJ"/>
        <w:rPr>
          <w:color w:val="auto"/>
        </w:rPr>
      </w:pPr>
      <w:r w:rsidRPr="00150014">
        <w:rPr>
          <w:color w:val="auto"/>
        </w:rPr>
        <w:t xml:space="preserve">3. </w:t>
      </w:r>
      <w:r w:rsidR="00160CEF" w:rsidRPr="00150014">
        <w:rPr>
          <w:color w:val="auto"/>
        </w:rPr>
        <w:t>O solstício coincide com o início das estações inverno/verão?</w:t>
      </w:r>
    </w:p>
    <w:p w:rsidR="00160CEF" w:rsidRPr="00991D31" w:rsidRDefault="00160CEF" w:rsidP="00150014">
      <w:pPr>
        <w:pStyle w:val="03Texto-IEIJ"/>
      </w:pPr>
    </w:p>
    <w:p w:rsidR="00991D31" w:rsidRDefault="00160CEF" w:rsidP="00150014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5648325" cy="2619375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EF" w:rsidRDefault="00160CEF" w:rsidP="00150014">
      <w:pPr>
        <w:pStyle w:val="03Texto-IEIJ"/>
      </w:pPr>
      <w:hyperlink r:id="rId14" w:history="1">
        <w:r>
          <w:rPr>
            <w:rStyle w:val="Hyperlink"/>
          </w:rPr>
          <w:t>https://www.youtube.com/watch?v=2EZ5cLVOako</w:t>
        </w:r>
      </w:hyperlink>
    </w:p>
    <w:p w:rsidR="00160CEF" w:rsidRDefault="00160CEF" w:rsidP="00150014">
      <w:pPr>
        <w:pStyle w:val="03Texto-IEIJ"/>
      </w:pPr>
    </w:p>
    <w:sectPr w:rsidR="00160CEF" w:rsidSect="00EF433D">
      <w:headerReference w:type="default" r:id="rId15"/>
      <w:headerReference w:type="first" r:id="rId16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0C" w:rsidRDefault="006E370C">
      <w:r>
        <w:separator/>
      </w:r>
    </w:p>
  </w:endnote>
  <w:endnote w:type="continuationSeparator" w:id="0">
    <w:p w:rsidR="006E370C" w:rsidRDefault="006E3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0C" w:rsidRDefault="006E370C">
      <w:r>
        <w:separator/>
      </w:r>
    </w:p>
  </w:footnote>
  <w:footnote w:type="continuationSeparator" w:id="0">
    <w:p w:rsidR="006E370C" w:rsidRDefault="006E3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160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7194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03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0014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370C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94C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50014"/>
    <w:pPr>
      <w:keepNext w:val="0"/>
      <w:spacing w:before="120"/>
    </w:pPr>
    <w:rPr>
      <w:rFonts w:asciiTheme="minorHAnsi" w:eastAsia="Arial Unicode MS" w:hAnsiTheme="minorHAnsi" w:cstheme="minorHAnsi"/>
      <w:b w:val="0"/>
      <w:color w:val="666666"/>
      <w:kern w:val="1"/>
      <w:sz w:val="24"/>
      <w:szCs w:val="24"/>
      <w:bdr w:val="none" w:sz="0" w:space="0" w:color="auto" w:frame="1"/>
      <w:shd w:val="clear" w:color="auto" w:fill="FFFFFF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limatempo.com.br/noti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geographic.com/science/space/what-is-summer-winter-solstice-answer-might-surprise-you/" TargetMode="External"/><Relationship Id="rId14" Type="http://schemas.openxmlformats.org/officeDocument/2006/relationships/hyperlink" Target="https://www.youtube.com/watch?v=2EZ5cLVOak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7AEF-82D9-4837-A95D-AB13DA1F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935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2020-06-21T22:31:00Z</dcterms:created>
  <dcterms:modified xsi:type="dcterms:W3CDTF">2020-06-21T22:31:00Z</dcterms:modified>
</cp:coreProperties>
</file>