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1874DD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17780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54">
        <w:t xml:space="preserve">Questão </w:t>
      </w:r>
      <w:proofErr w:type="gramStart"/>
      <w:r w:rsidR="00991954"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76200</wp:posOffset>
            </wp:positionV>
            <wp:extent cx="4956810" cy="3380740"/>
            <wp:effectExtent l="19050" t="0" r="0" b="0"/>
            <wp:wrapThrough wrapText="bothSides">
              <wp:wrapPolygon edited="0">
                <wp:start x="-83" y="0"/>
                <wp:lineTo x="-83" y="21421"/>
                <wp:lineTo x="21583" y="21421"/>
                <wp:lineTo x="21583" y="0"/>
                <wp:lineTo x="-83" y="0"/>
              </wp:wrapPolygon>
            </wp:wrapThrough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2054DA" w:rsidRDefault="002054DA" w:rsidP="001874DD">
      <w:pPr>
        <w:pStyle w:val="texto-IEIJ"/>
        <w:ind w:firstLine="709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w:proofErr w:type="gramEnd"/>
      <w:r w:rsidR="00693590">
        <w:t xml:space="preserve">metade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1874DD" w:rsidP="001874DD">
      <w:pPr>
        <w:pStyle w:val="text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inline distT="0" distB="0" distL="0" distR="0">
            <wp:extent cx="3912870" cy="2317750"/>
            <wp:effectExtent l="1905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lastRenderedPageBreak/>
        <w:t xml:space="preserve">Uma teia alimentar são as relações de comida que existem no ambiente. </w:t>
      </w:r>
      <w:r w:rsidR="00693590">
        <w:rPr>
          <w:rStyle w:val="nfase"/>
          <w:i w:val="0"/>
          <w:iCs w:val="0"/>
          <w:szCs w:val="27"/>
          <w:shd w:val="clear" w:color="auto" w:fill="FFFFFF"/>
        </w:rPr>
        <w:t xml:space="preserve">A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693590">
      <w:pPr>
        <w:pStyle w:val="texto-IEIJ"/>
      </w:pPr>
      <w:r>
        <w:t xml:space="preserve">Observe a figura a seguir. </w:t>
      </w:r>
      <w:r w:rsidR="00693590">
        <w:t xml:space="preserve">Assinale a alternativa que mostra o que o rato come e a quem ele serve de alimento. 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>Plantas → Coelhos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Plantas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>
        <w:rPr>
          <w:rStyle w:val="Forte"/>
          <w:b w:val="0"/>
          <w:bCs w:val="0"/>
          <w:szCs w:val="27"/>
          <w:shd w:val="clear" w:color="auto" w:fill="FFFFFF"/>
        </w:rPr>
        <w:t>Coelhos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486910" cy="3434080"/>
            <wp:effectExtent l="19050" t="0" r="889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90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F5" w:rsidRDefault="00D628F5">
      <w:r>
        <w:separator/>
      </w:r>
    </w:p>
  </w:endnote>
  <w:endnote w:type="continuationSeparator" w:id="0">
    <w:p w:rsidR="00D628F5" w:rsidRDefault="00D6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F5" w:rsidRDefault="00D628F5">
      <w:r>
        <w:separator/>
      </w:r>
    </w:p>
  </w:footnote>
  <w:footnote w:type="continuationSeparator" w:id="0">
    <w:p w:rsidR="00D628F5" w:rsidRDefault="00D6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3628E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3628E8">
            <w:rPr>
              <w:rFonts w:asciiTheme="minorHAnsi" w:hAnsiTheme="minorHAnsi"/>
              <w:b/>
              <w:noProof/>
              <w:lang w:eastAsia="pt-BR" w:bidi="ar-SA"/>
            </w:rPr>
            <w:t>2/3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9359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874D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4D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28E8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416B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28F5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1DAB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6336-102C-418D-9B91-52CFF83B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2020-07-28T23:41:00Z</cp:lastPrinted>
  <dcterms:created xsi:type="dcterms:W3CDTF">2020-07-28T23:44:00Z</dcterms:created>
  <dcterms:modified xsi:type="dcterms:W3CDTF">2020-07-28T23:44:00Z</dcterms:modified>
</cp:coreProperties>
</file>