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FE7" w:rsidRDefault="002F0C22" w:rsidP="00836FE7">
      <w:pPr>
        <w:pStyle w:val="01Ttulo-IEIJ"/>
      </w:pPr>
      <w:r>
        <w:rPr>
          <w:noProof/>
        </w:rPr>
        <w:drawing>
          <wp:inline distT="0" distB="0" distL="0" distR="0">
            <wp:extent cx="2381885" cy="1424940"/>
            <wp:effectExtent l="19050" t="0" r="0" b="0"/>
            <wp:docPr id="13" name="Imagem 12" descr="MON – Museu Oscar Niemeyer – Arteinclusão Consul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N – Museu Oscar Niemeyer – Arteinclusão Consul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01Ttulo-IEIJ"/>
      </w:pPr>
      <w:r w:rsidRPr="00836FE7">
        <w:t>Museu Oscar Niemeyer conquista prêmio internacional</w:t>
      </w:r>
    </w:p>
    <w:p w:rsidR="00836FE7" w:rsidRPr="00836FE7" w:rsidRDefault="00836FE7" w:rsidP="00836FE7">
      <w:pPr>
        <w:widowControl/>
        <w:shd w:val="clear" w:color="auto" w:fill="DF2A17"/>
        <w:suppressAutoHyphens w:val="0"/>
        <w:spacing w:before="84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color w:val="0000FF"/>
          <w:kern w:val="0"/>
          <w:lang w:eastAsia="pt-BR" w:bidi="ar-SA"/>
        </w:rPr>
        <w:drawing>
          <wp:inline distT="0" distB="0" distL="0" distR="0">
            <wp:extent cx="2498725" cy="457200"/>
            <wp:effectExtent l="19050" t="0" r="0" b="0"/>
            <wp:docPr id="9" name="Imagem 1" descr="Folha de Londri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ha de Londri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jc w:val="right"/>
      </w:pPr>
      <w:r w:rsidRPr="00836FE7">
        <w:t xml:space="preserve">01 DE SETEMBRO DE </w:t>
      </w:r>
      <w:proofErr w:type="gramStart"/>
      <w:r w:rsidRPr="00836FE7">
        <w:t>2020 Marcos Roman</w:t>
      </w:r>
      <w:proofErr w:type="gramEnd"/>
      <w:r w:rsidRPr="00836FE7">
        <w:t xml:space="preserve"> - Grupo Folha</w:t>
      </w:r>
    </w:p>
    <w:p w:rsidR="00836FE7" w:rsidRPr="00836FE7" w:rsidRDefault="00836FE7" w:rsidP="00836FE7">
      <w:pPr>
        <w:pStyle w:val="texto-IEIJ"/>
        <w:jc w:val="both"/>
        <w:rPr>
          <w:lang w:bidi="ar-SA"/>
        </w:rPr>
      </w:pPr>
      <w:r w:rsidRPr="00836FE7">
        <w:rPr>
          <w:szCs w:val="29"/>
          <w:lang w:bidi="ar-SA"/>
        </w:rPr>
        <w:t xml:space="preserve">Localizado em Curitiba, o MON foi contemplado com o Prêmio </w:t>
      </w:r>
      <w:proofErr w:type="spellStart"/>
      <w:r w:rsidRPr="00836FE7">
        <w:rPr>
          <w:szCs w:val="29"/>
          <w:lang w:bidi="ar-SA"/>
        </w:rPr>
        <w:t>Travellers</w:t>
      </w:r>
      <w:proofErr w:type="spellEnd"/>
      <w:r w:rsidRPr="00836FE7">
        <w:rPr>
          <w:szCs w:val="29"/>
          <w:lang w:bidi="ar-SA"/>
        </w:rPr>
        <w:t xml:space="preserve">’ </w:t>
      </w:r>
      <w:proofErr w:type="spellStart"/>
      <w:r w:rsidRPr="00836FE7">
        <w:rPr>
          <w:szCs w:val="29"/>
          <w:lang w:bidi="ar-SA"/>
        </w:rPr>
        <w:t>Choice</w:t>
      </w:r>
      <w:proofErr w:type="spellEnd"/>
      <w:r w:rsidRPr="00836FE7">
        <w:rPr>
          <w:szCs w:val="29"/>
          <w:lang w:bidi="ar-SA"/>
        </w:rPr>
        <w:t xml:space="preserve"> 2020 e passou a figurar entre as melhores atrações do </w:t>
      </w:r>
      <w:proofErr w:type="gramStart"/>
      <w:r w:rsidRPr="00836FE7">
        <w:rPr>
          <w:szCs w:val="29"/>
          <w:lang w:bidi="ar-SA"/>
        </w:rPr>
        <w:t>mundo</w:t>
      </w:r>
      <w:proofErr w:type="gramEnd"/>
    </w:p>
    <w:p w:rsidR="00836FE7" w:rsidRPr="00836FE7" w:rsidRDefault="00836FE7" w:rsidP="00836FE7">
      <w:pPr>
        <w:pStyle w:val="texto-IEIJ"/>
        <w:jc w:val="both"/>
        <w:rPr>
          <w:szCs w:val="29"/>
          <w:lang w:bidi="ar-SA"/>
        </w:rPr>
      </w:pPr>
      <w:r w:rsidRPr="00836FE7">
        <w:drawing>
          <wp:inline distT="0" distB="0" distL="0" distR="0">
            <wp:extent cx="6395484" cy="4263656"/>
            <wp:effectExtent l="19050" t="0" r="5316" b="0"/>
            <wp:docPr id="11" name="Imagem 7" descr="O MON está entre as melhores atrações do mundo, só em seu site há mais de 860 milhões de avali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MON está entre as melhores atrações do mundo, só em seu site há mais de 860 milhões de avaliaçõ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07" cy="426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texto-IEIJ"/>
        <w:jc w:val="center"/>
        <w:rPr>
          <w:sz w:val="24"/>
          <w:szCs w:val="24"/>
          <w:lang w:bidi="ar-SA"/>
        </w:rPr>
      </w:pPr>
      <w:r w:rsidRPr="00836FE7">
        <w:rPr>
          <w:sz w:val="24"/>
          <w:szCs w:val="24"/>
          <w:lang w:bidi="ar-SA"/>
        </w:rPr>
        <w:t xml:space="preserve">O MON está entre as melhores atrações do mundo, só em seu site há mais de 860 milhões de avaliações | Leonardo </w:t>
      </w:r>
      <w:proofErr w:type="spellStart"/>
      <w:r w:rsidRPr="00836FE7">
        <w:rPr>
          <w:sz w:val="24"/>
          <w:szCs w:val="24"/>
          <w:lang w:bidi="ar-SA"/>
        </w:rPr>
        <w:t>Finotti</w:t>
      </w:r>
      <w:proofErr w:type="spellEnd"/>
      <w:r w:rsidRPr="00836FE7">
        <w:rPr>
          <w:sz w:val="24"/>
          <w:szCs w:val="24"/>
          <w:lang w:bidi="ar-SA"/>
        </w:rPr>
        <w:t xml:space="preserve">/ </w:t>
      </w:r>
      <w:proofErr w:type="gramStart"/>
      <w:r w:rsidRPr="00836FE7">
        <w:rPr>
          <w:sz w:val="24"/>
          <w:szCs w:val="24"/>
          <w:lang w:bidi="ar-SA"/>
        </w:rPr>
        <w:t>Divulgação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lastRenderedPageBreak/>
        <w:t xml:space="preserve">O MON (Museu Oscar Niemeyer) conquistou o Prêmio </w:t>
      </w:r>
      <w:proofErr w:type="spellStart"/>
      <w:r w:rsidRPr="007F77B5">
        <w:rPr>
          <w:sz w:val="26"/>
          <w:szCs w:val="26"/>
          <w:lang w:bidi="ar-SA"/>
        </w:rPr>
        <w:t>Travellers</w:t>
      </w:r>
      <w:proofErr w:type="spellEnd"/>
      <w:r w:rsidRPr="007F77B5">
        <w:rPr>
          <w:sz w:val="26"/>
          <w:szCs w:val="26"/>
          <w:lang w:bidi="ar-SA"/>
        </w:rPr>
        <w:t xml:space="preserve">’ </w:t>
      </w:r>
      <w:proofErr w:type="spellStart"/>
      <w:r w:rsidRPr="007F77B5">
        <w:rPr>
          <w:sz w:val="26"/>
          <w:szCs w:val="26"/>
          <w:lang w:bidi="ar-SA"/>
        </w:rPr>
        <w:t>Choice</w:t>
      </w:r>
      <w:proofErr w:type="spellEnd"/>
      <w:r w:rsidRPr="007F77B5">
        <w:rPr>
          <w:sz w:val="26"/>
          <w:szCs w:val="26"/>
          <w:lang w:bidi="ar-SA"/>
        </w:rPr>
        <w:t xml:space="preserve"> 2020 e agora integra o restrito grupo das 10% melhores atrações do mundo. A premiação foi concedida pela plataforma </w:t>
      </w:r>
      <w:proofErr w:type="spellStart"/>
      <w:proofErr w:type="gramStart"/>
      <w:r w:rsidRPr="007F77B5">
        <w:rPr>
          <w:sz w:val="26"/>
          <w:szCs w:val="26"/>
          <w:lang w:bidi="ar-SA"/>
        </w:rPr>
        <w:t>TripAdvisor</w:t>
      </w:r>
      <w:proofErr w:type="spellEnd"/>
      <w:proofErr w:type="gramEnd"/>
      <w:r w:rsidRPr="007F77B5">
        <w:rPr>
          <w:sz w:val="26"/>
          <w:szCs w:val="26"/>
          <w:lang w:bidi="ar-SA"/>
        </w:rPr>
        <w:t xml:space="preserve"> com base nas avaliações positivas que o espaço cultural localizado em Curitiba recebeu dos visitantes no ano passado. No site, há mais de 860 milhões de avaliações e opiniões sobre 8,7 milhões de estabelecimentos e atrações em todo o planeta, incluindo o museu paranaense. </w:t>
      </w:r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O anúncio da conquista do prêmio foi recebido com entusiasmo pela equipe do museu. “É uma satisfação enorme ver reconhecido o trabalho conjunto da equipe do museu e de todos que de alguma forma contribuem para que o museu seja o que é. Sem dúvida, é um estímulo para que possamos proporcionar experiências cada vez melhores aos nossos visitantes”, afirma diz a diretora-presidente da instituição, Juliana </w:t>
      </w:r>
      <w:proofErr w:type="spellStart"/>
      <w:r w:rsidRPr="007F77B5">
        <w:rPr>
          <w:sz w:val="26"/>
          <w:szCs w:val="26"/>
          <w:lang w:bidi="ar-SA"/>
        </w:rPr>
        <w:t>Vosnika</w:t>
      </w:r>
      <w:proofErr w:type="spellEnd"/>
      <w:r w:rsidRPr="007F77B5">
        <w:rPr>
          <w:sz w:val="26"/>
          <w:szCs w:val="26"/>
          <w:lang w:bidi="ar-SA"/>
        </w:rPr>
        <w:t>. </w:t>
      </w:r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Inaugurado em 2002, o MON é considerado o maior museu de arte da América Latina e conta com um espaço de </w:t>
      </w:r>
      <w:proofErr w:type="gramStart"/>
      <w:r w:rsidRPr="007F77B5">
        <w:rPr>
          <w:sz w:val="26"/>
          <w:szCs w:val="26"/>
          <w:lang w:bidi="ar-SA"/>
        </w:rPr>
        <w:t>cerca de 35</w:t>
      </w:r>
      <w:proofErr w:type="gramEnd"/>
      <w:r w:rsidRPr="007F77B5">
        <w:rPr>
          <w:sz w:val="26"/>
          <w:szCs w:val="26"/>
          <w:lang w:bidi="ar-SA"/>
        </w:rPr>
        <w:t xml:space="preserve"> mil metros quadrados de área construída, incluindo 17 mil metros quadrados de área para exposições. Instalado em prédio projetado pelo arquiteto brasileiro Oscar Niemeyer, o museu abriga cerca de </w:t>
      </w:r>
      <w:proofErr w:type="gramStart"/>
      <w:r w:rsidRPr="007F77B5">
        <w:rPr>
          <w:sz w:val="26"/>
          <w:szCs w:val="26"/>
          <w:lang w:bidi="ar-SA"/>
        </w:rPr>
        <w:t>7</w:t>
      </w:r>
      <w:proofErr w:type="gramEnd"/>
      <w:r w:rsidRPr="007F77B5">
        <w:rPr>
          <w:sz w:val="26"/>
          <w:szCs w:val="26"/>
          <w:lang w:bidi="ar-SA"/>
        </w:rPr>
        <w:t xml:space="preserve"> mil obras de importantes nomes da produção artística nacional e internacional ligados às artes visuais, arquitetura e design. O acervo conta com obras de artistas mundialmente conhecidos. Entre eles Tarsila do Amaral, Cândido Portinari, Oscar Niemeyer, </w:t>
      </w:r>
      <w:proofErr w:type="spellStart"/>
      <w:r w:rsidRPr="007F77B5">
        <w:rPr>
          <w:sz w:val="26"/>
          <w:szCs w:val="26"/>
          <w:lang w:bidi="ar-SA"/>
        </w:rPr>
        <w:t>Ianelli</w:t>
      </w:r>
      <w:proofErr w:type="spellEnd"/>
      <w:r w:rsidRPr="007F77B5">
        <w:rPr>
          <w:sz w:val="26"/>
          <w:szCs w:val="26"/>
          <w:lang w:bidi="ar-SA"/>
        </w:rPr>
        <w:t xml:space="preserve">, </w:t>
      </w:r>
      <w:proofErr w:type="spellStart"/>
      <w:r w:rsidRPr="007F77B5">
        <w:rPr>
          <w:sz w:val="26"/>
          <w:szCs w:val="26"/>
          <w:lang w:bidi="ar-SA"/>
        </w:rPr>
        <w:t>Caribé</w:t>
      </w:r>
      <w:proofErr w:type="spellEnd"/>
      <w:r w:rsidRPr="007F77B5">
        <w:rPr>
          <w:sz w:val="26"/>
          <w:szCs w:val="26"/>
          <w:lang w:bidi="ar-SA"/>
        </w:rPr>
        <w:t xml:space="preserve">, </w:t>
      </w:r>
      <w:proofErr w:type="spellStart"/>
      <w:r w:rsidRPr="007F77B5">
        <w:rPr>
          <w:sz w:val="26"/>
          <w:szCs w:val="26"/>
          <w:lang w:bidi="ar-SA"/>
        </w:rPr>
        <w:t>Tomie</w:t>
      </w:r>
      <w:proofErr w:type="spellEnd"/>
      <w:r w:rsidRPr="007F77B5">
        <w:rPr>
          <w:sz w:val="26"/>
          <w:szCs w:val="26"/>
          <w:lang w:bidi="ar-SA"/>
        </w:rPr>
        <w:t xml:space="preserve"> </w:t>
      </w:r>
      <w:proofErr w:type="spellStart"/>
      <w:r w:rsidRPr="007F77B5">
        <w:rPr>
          <w:sz w:val="26"/>
          <w:szCs w:val="26"/>
          <w:lang w:bidi="ar-SA"/>
        </w:rPr>
        <w:t>Ohtake</w:t>
      </w:r>
      <w:proofErr w:type="spellEnd"/>
      <w:r w:rsidRPr="007F77B5">
        <w:rPr>
          <w:sz w:val="26"/>
          <w:szCs w:val="26"/>
          <w:lang w:bidi="ar-SA"/>
        </w:rPr>
        <w:t xml:space="preserve">, Andy </w:t>
      </w:r>
      <w:proofErr w:type="spellStart"/>
      <w:r w:rsidRPr="007F77B5">
        <w:rPr>
          <w:sz w:val="26"/>
          <w:szCs w:val="26"/>
          <w:lang w:bidi="ar-SA"/>
        </w:rPr>
        <w:t>Warhol</w:t>
      </w:r>
      <w:proofErr w:type="spellEnd"/>
      <w:r w:rsidRPr="007F77B5">
        <w:rPr>
          <w:sz w:val="26"/>
          <w:szCs w:val="26"/>
          <w:lang w:bidi="ar-SA"/>
        </w:rPr>
        <w:t xml:space="preserve">, Di Cavalcanti e Francisco </w:t>
      </w:r>
      <w:proofErr w:type="spellStart"/>
      <w:r w:rsidRPr="007F77B5">
        <w:rPr>
          <w:sz w:val="26"/>
          <w:szCs w:val="26"/>
          <w:lang w:bidi="ar-SA"/>
        </w:rPr>
        <w:t>Brennand</w:t>
      </w:r>
      <w:proofErr w:type="spellEnd"/>
      <w:r w:rsidRPr="007F77B5">
        <w:rPr>
          <w:sz w:val="26"/>
          <w:szCs w:val="26"/>
          <w:lang w:bidi="ar-SA"/>
        </w:rPr>
        <w:t>. </w:t>
      </w:r>
      <w:proofErr w:type="gramStart"/>
      <w:r w:rsidRPr="007F77B5">
        <w:rPr>
          <w:sz w:val="26"/>
          <w:szCs w:val="26"/>
          <w:lang w:bidi="ar-SA"/>
        </w:rPr>
        <w:t xml:space="preserve">  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Apontado como uma instituição de referência em artes visuais no Brasil e no mundo, o MON tornou-se rota das grandes exposições nacionais e internacionais, recebendo mostras importantes. Em 2012, o espaço foi eleito um dos 20 museus mais bonitos do mundo pelo guia norte-americano </w:t>
      </w:r>
      <w:proofErr w:type="spellStart"/>
      <w:r w:rsidRPr="007F77B5">
        <w:rPr>
          <w:sz w:val="26"/>
          <w:szCs w:val="26"/>
          <w:lang w:bidi="ar-SA"/>
        </w:rPr>
        <w:t>Flavorwire</w:t>
      </w:r>
      <w:proofErr w:type="spellEnd"/>
      <w:r w:rsidRPr="007F77B5">
        <w:rPr>
          <w:sz w:val="26"/>
          <w:szCs w:val="26"/>
          <w:lang w:bidi="ar-SA"/>
        </w:rPr>
        <w:t>.  Em 2014, foi eleito como um dos 20 lugares mais bonitos do Brasil pela rede norte-americana de notícias CNN. </w:t>
      </w:r>
      <w:proofErr w:type="gramStart"/>
      <w:r w:rsidRPr="007F77B5">
        <w:rPr>
          <w:sz w:val="26"/>
          <w:szCs w:val="26"/>
          <w:lang w:bidi="ar-SA"/>
        </w:rPr>
        <w:t xml:space="preserve">  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Devido à pandemia da </w:t>
      </w:r>
      <w:proofErr w:type="spellStart"/>
      <w:r w:rsidRPr="007F77B5">
        <w:rPr>
          <w:sz w:val="26"/>
          <w:szCs w:val="26"/>
          <w:lang w:bidi="ar-SA"/>
        </w:rPr>
        <w:t>Covid</w:t>
      </w:r>
      <w:proofErr w:type="spellEnd"/>
      <w:r w:rsidRPr="007F77B5">
        <w:rPr>
          <w:sz w:val="26"/>
          <w:szCs w:val="26"/>
          <w:lang w:bidi="ar-SA"/>
        </w:rPr>
        <w:t xml:space="preserve">-19, o MON está temporariamente fechado para o público, atendendo ao decreto estadual nº 4.230, que determinou o fechamento dos espaços culturais do Governo do Paraná. Durante esse período, o museu tem disponibilizado gratuitamente visitas virtuais e um tour 3D a 88 exposições realizadas no espaço desde 2010. São mostras de artes plásticas, fotografia, vídeo, arquitetura e design, incluindo exposições de artistas do acervo e sucessos internacionais. As visitas virtuais podem ser feitas pelo site </w:t>
      </w:r>
      <w:proofErr w:type="gramStart"/>
      <w:r w:rsidRPr="007F77B5">
        <w:rPr>
          <w:sz w:val="26"/>
          <w:szCs w:val="26"/>
          <w:lang w:bidi="ar-SA"/>
        </w:rPr>
        <w:t>museuoscarniemeyer.org.</w:t>
      </w:r>
      <w:proofErr w:type="spellStart"/>
      <w:proofErr w:type="gramEnd"/>
      <w:r w:rsidRPr="007F77B5">
        <w:rPr>
          <w:sz w:val="26"/>
          <w:szCs w:val="26"/>
          <w:lang w:bidi="ar-SA"/>
        </w:rPr>
        <w:t>br</w:t>
      </w:r>
      <w:proofErr w:type="spellEnd"/>
      <w:r w:rsidRPr="007F77B5">
        <w:rPr>
          <w:sz w:val="26"/>
          <w:szCs w:val="26"/>
          <w:lang w:bidi="ar-SA"/>
        </w:rPr>
        <w:t xml:space="preserve"> </w:t>
      </w:r>
    </w:p>
    <w:p w:rsidR="007F77B5" w:rsidRPr="007F77B5" w:rsidRDefault="002F0C22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ab/>
      </w:r>
    </w:p>
    <w:p w:rsidR="007F77B5" w:rsidRPr="007F77B5" w:rsidRDefault="007F77B5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PROPOSTAS: </w:t>
      </w:r>
    </w:p>
    <w:p w:rsidR="007F77B5" w:rsidRPr="007F77B5" w:rsidRDefault="007F77B5" w:rsidP="007F77B5">
      <w:pPr>
        <w:pStyle w:val="texto-IEIJ"/>
        <w:numPr>
          <w:ilvl w:val="0"/>
          <w:numId w:val="29"/>
        </w:numPr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Complete o quadro dos resumos. </w:t>
      </w:r>
    </w:p>
    <w:p w:rsidR="007F77B5" w:rsidRPr="007F77B5" w:rsidRDefault="007F77B5" w:rsidP="007F77B5">
      <w:pPr>
        <w:pStyle w:val="texto-IEIJ"/>
        <w:numPr>
          <w:ilvl w:val="0"/>
          <w:numId w:val="29"/>
        </w:numPr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No site do Museu, estão as informações sobre as exposições em cartaz no momento. Escolha uma das exposições, leia as informações e escreva no último quadro dos resumos. </w:t>
      </w:r>
    </w:p>
    <w:p w:rsidR="007F77B5" w:rsidRPr="007F77B5" w:rsidRDefault="007F77B5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>(</w:t>
      </w:r>
      <w:hyperlink r:id="rId12" w:history="1">
        <w:r w:rsidRPr="007F77B5">
          <w:rPr>
            <w:rStyle w:val="Hyperlink"/>
            <w:sz w:val="26"/>
            <w:szCs w:val="26"/>
            <w:lang w:bidi="ar-SA"/>
          </w:rPr>
          <w:t>https://www.museuoscarniemeyer.org.br/exposicoes/exposicoes#futuras</w:t>
        </w:r>
      </w:hyperlink>
      <w:r w:rsidRPr="007F77B5">
        <w:rPr>
          <w:sz w:val="26"/>
          <w:szCs w:val="26"/>
          <w:lang w:bidi="ar-SA"/>
        </w:rPr>
        <w:t xml:space="preserve">) </w:t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  <w:r>
        <w:rPr>
          <w:noProof/>
          <w:szCs w:val="29"/>
          <w:lang w:eastAsia="pt-BR" w:bidi="ar-SA"/>
        </w:rPr>
        <w:lastRenderedPageBreak/>
        <w:drawing>
          <wp:inline distT="0" distB="0" distL="0" distR="0">
            <wp:extent cx="6124575" cy="295592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  <w:r>
        <w:rPr>
          <w:noProof/>
          <w:szCs w:val="29"/>
          <w:lang w:eastAsia="pt-BR" w:bidi="ar-SA"/>
        </w:rPr>
        <w:drawing>
          <wp:inline distT="0" distB="0" distL="0" distR="0">
            <wp:extent cx="6113780" cy="2604770"/>
            <wp:effectExtent l="19050" t="0" r="127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  <w:r>
        <w:rPr>
          <w:noProof/>
          <w:szCs w:val="29"/>
          <w:lang w:eastAsia="pt-BR" w:bidi="ar-SA"/>
        </w:rPr>
        <w:drawing>
          <wp:inline distT="0" distB="0" distL="0" distR="0">
            <wp:extent cx="2392045" cy="2998470"/>
            <wp:effectExtent l="19050" t="0" r="825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texto-IEIJ"/>
        <w:jc w:val="both"/>
        <w:rPr>
          <w:szCs w:val="29"/>
          <w:lang w:bidi="ar-SA"/>
        </w:rPr>
      </w:pPr>
      <w:r>
        <w:rPr>
          <w:szCs w:val="29"/>
          <w:lang w:bidi="ar-SA"/>
        </w:rPr>
        <w:t xml:space="preserve"> </w:t>
      </w:r>
      <w:r w:rsidRPr="00836FE7">
        <w:rPr>
          <w:szCs w:val="29"/>
          <w:lang w:bidi="ar-SA"/>
        </w:rPr>
        <w:t> </w:t>
      </w:r>
    </w:p>
    <w:p w:rsidR="00836FE7" w:rsidRDefault="00836FE7" w:rsidP="007F77B5">
      <w:pPr>
        <w:pStyle w:val="03Texto-IEIJ"/>
      </w:pPr>
    </w:p>
    <w:p w:rsidR="00836FE7" w:rsidRDefault="007F77B5" w:rsidP="007F77B5">
      <w:pPr>
        <w:pStyle w:val="03Texto-IEIJ"/>
      </w:pPr>
      <w:r>
        <w:lastRenderedPageBreak/>
        <w:t>RESUMOS</w:t>
      </w:r>
    </w:p>
    <w:p w:rsidR="007F77B5" w:rsidRDefault="007F77B5" w:rsidP="007F77B5">
      <w:pPr>
        <w:pStyle w:val="texto-IEIJ"/>
        <w:jc w:val="both"/>
      </w:pPr>
      <w:r>
        <w:tab/>
        <w:t xml:space="preserve">Escreva, no quadro a seguir, o resumo dos parágrafos lidos na reportagem </w:t>
      </w:r>
      <w:r w:rsidRPr="007F77B5">
        <w:rPr>
          <w:b/>
        </w:rPr>
        <w:t>Museu Oscar Niemeyer conquista prêmio internacional</w:t>
      </w:r>
      <w:r>
        <w:rPr>
          <w:b/>
        </w:rPr>
        <w:t xml:space="preserve">. </w:t>
      </w:r>
      <w:r>
        <w:t xml:space="preserve">No último quadro escreva sobre a exposição escolhida. </w:t>
      </w:r>
    </w:p>
    <w:p w:rsidR="007F77B5" w:rsidRDefault="007F77B5" w:rsidP="007F77B5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1668"/>
        <w:gridCol w:w="8111"/>
      </w:tblGrid>
      <w:tr w:rsidR="007F77B5" w:rsidTr="007F77B5">
        <w:tc>
          <w:tcPr>
            <w:tcW w:w="1668" w:type="dxa"/>
            <w:shd w:val="clear" w:color="auto" w:fill="FFFF00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Título </w:t>
            </w:r>
          </w:p>
        </w:tc>
        <w:tc>
          <w:tcPr>
            <w:tcW w:w="8111" w:type="dxa"/>
            <w:shd w:val="clear" w:color="auto" w:fill="FFFF00"/>
          </w:tcPr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>Parágrafo 1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C5E0B3" w:themeFill="accent6" w:themeFillTint="66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>Exposição escolhida</w:t>
            </w:r>
          </w:p>
        </w:tc>
        <w:tc>
          <w:tcPr>
            <w:tcW w:w="8111" w:type="dxa"/>
            <w:shd w:val="clear" w:color="auto" w:fill="C5E0B3" w:themeFill="accent6" w:themeFillTint="66"/>
          </w:tcPr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C5E0B3" w:themeFill="accent6" w:themeFillTint="66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>Explicação da exposição</w:t>
            </w:r>
          </w:p>
        </w:tc>
        <w:tc>
          <w:tcPr>
            <w:tcW w:w="8111" w:type="dxa"/>
            <w:shd w:val="clear" w:color="auto" w:fill="C5E0B3" w:themeFill="accent6" w:themeFillTint="66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</w:tbl>
    <w:p w:rsidR="007F77B5" w:rsidRPr="007F77B5" w:rsidRDefault="007F77B5" w:rsidP="007F77B5">
      <w:pPr>
        <w:pStyle w:val="texto-IEIJ"/>
        <w:jc w:val="both"/>
      </w:pPr>
    </w:p>
    <w:p w:rsidR="007F77B5" w:rsidRDefault="007F77B5" w:rsidP="007F77B5">
      <w:pPr>
        <w:pStyle w:val="03Texto-IEIJ"/>
        <w:jc w:val="both"/>
      </w:pPr>
    </w:p>
    <w:p w:rsidR="007F77B5" w:rsidRDefault="007F77B5" w:rsidP="007F77B5">
      <w:pPr>
        <w:pStyle w:val="03Texto-IEIJ"/>
      </w:pPr>
    </w:p>
    <w:sectPr w:rsidR="007F77B5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A4" w:rsidRDefault="001C12A4">
      <w:r>
        <w:separator/>
      </w:r>
    </w:p>
  </w:endnote>
  <w:endnote w:type="continuationSeparator" w:id="0">
    <w:p w:rsidR="001C12A4" w:rsidRDefault="001C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A4" w:rsidRDefault="001C12A4">
      <w:r>
        <w:separator/>
      </w:r>
    </w:p>
  </w:footnote>
  <w:footnote w:type="continuationSeparator" w:id="0">
    <w:p w:rsidR="001C12A4" w:rsidRDefault="001C1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F0C22">
            <w:rPr>
              <w:rFonts w:asciiTheme="minorHAnsi" w:hAnsiTheme="minorHAnsi"/>
              <w:noProof/>
              <w:lang w:eastAsia="pt-BR" w:bidi="ar-SA"/>
            </w:rPr>
            <w:t>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817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2F0C2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F0C22" w:rsidP="001B2B8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B2B83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8"/>
  </w:num>
  <w:num w:numId="7">
    <w:abstractNumId w:val="14"/>
  </w:num>
  <w:num w:numId="8">
    <w:abstractNumId w:val="26"/>
  </w:num>
  <w:num w:numId="9">
    <w:abstractNumId w:val="7"/>
  </w:num>
  <w:num w:numId="10">
    <w:abstractNumId w:val="23"/>
  </w:num>
  <w:num w:numId="11">
    <w:abstractNumId w:val="8"/>
  </w:num>
  <w:num w:numId="12">
    <w:abstractNumId w:val="27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7"/>
  </w:num>
  <w:num w:numId="20">
    <w:abstractNumId w:val="19"/>
  </w:num>
  <w:num w:numId="21">
    <w:abstractNumId w:val="25"/>
  </w:num>
  <w:num w:numId="22">
    <w:abstractNumId w:val="9"/>
  </w:num>
  <w:num w:numId="23">
    <w:abstractNumId w:val="3"/>
  </w:num>
  <w:num w:numId="24">
    <w:abstractNumId w:val="24"/>
  </w:num>
  <w:num w:numId="25">
    <w:abstractNumId w:val="6"/>
  </w:num>
  <w:num w:numId="26">
    <w:abstractNumId w:val="18"/>
  </w:num>
  <w:num w:numId="27">
    <w:abstractNumId w:val="22"/>
  </w:num>
  <w:num w:numId="28">
    <w:abstractNumId w:val="10"/>
  </w:num>
  <w:num w:numId="2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565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505C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3"/>
    <w:rsid w:val="001B2B8D"/>
    <w:rsid w:val="001B2C7E"/>
    <w:rsid w:val="001B463C"/>
    <w:rsid w:val="001C12A4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96F66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62FC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836FE7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F77B5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seuoscarniemeyer.org.br/exposicoes/exposicoes#futura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lhadelondrina.com.br/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5D25-1D45-468A-BFA0-77124603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560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2020-09-07T18:34:00Z</dcterms:created>
  <dcterms:modified xsi:type="dcterms:W3CDTF">2020-09-07T18:34:00Z</dcterms:modified>
</cp:coreProperties>
</file>