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579C9" w:rsidRPr="00B821B9" w:rsidRDefault="003171ED" w:rsidP="00B821B9">
      <w:pPr>
        <w:pStyle w:val="01Ttulo-IEIJ"/>
      </w:pPr>
      <w:r w:rsidRPr="00B821B9">
        <w:t>R$ 200,00</w:t>
      </w:r>
    </w:p>
    <w:p w:rsidR="003171ED" w:rsidRDefault="003171ED" w:rsidP="003171ED">
      <w:pPr>
        <w:pStyle w:val="texto-IEIJ"/>
        <w:jc w:val="center"/>
        <w:rPr>
          <w:sz w:val="36"/>
          <w:szCs w:val="36"/>
        </w:rPr>
      </w:pPr>
      <w:r>
        <w:rPr>
          <w:noProof/>
          <w:sz w:val="36"/>
          <w:szCs w:val="36"/>
          <w:lang w:eastAsia="pt-BR" w:bidi="ar-SA"/>
        </w:rPr>
        <w:drawing>
          <wp:inline distT="0" distB="0" distL="0" distR="0">
            <wp:extent cx="2817495" cy="680720"/>
            <wp:effectExtent l="1905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17495" cy="680720"/>
                    </a:xfrm>
                    <a:prstGeom prst="rect">
                      <a:avLst/>
                    </a:prstGeom>
                    <a:noFill/>
                    <a:ln w="9525">
                      <a:noFill/>
                      <a:miter lim="800000"/>
                      <a:headEnd/>
                      <a:tailEnd/>
                    </a:ln>
                  </pic:spPr>
                </pic:pic>
              </a:graphicData>
            </a:graphic>
          </wp:inline>
        </w:drawing>
      </w:r>
    </w:p>
    <w:p w:rsidR="003171ED" w:rsidRPr="003171ED" w:rsidRDefault="003171ED" w:rsidP="003171ED">
      <w:pPr>
        <w:pStyle w:val="texto-IEIJ"/>
        <w:jc w:val="center"/>
        <w:rPr>
          <w:sz w:val="36"/>
          <w:szCs w:val="36"/>
        </w:rPr>
      </w:pPr>
      <w:r w:rsidRPr="003171ED">
        <w:rPr>
          <w:sz w:val="36"/>
          <w:szCs w:val="36"/>
        </w:rPr>
        <w:t>Conheça os elementos de segurança da nova cédula de R$ 200</w:t>
      </w:r>
    </w:p>
    <w:p w:rsidR="003171ED" w:rsidRDefault="003171ED" w:rsidP="003171ED">
      <w:pPr>
        <w:pStyle w:val="texto-IEIJ"/>
        <w:jc w:val="center"/>
        <w:rPr>
          <w:szCs w:val="32"/>
        </w:rPr>
      </w:pPr>
      <w:r w:rsidRPr="003171ED">
        <w:rPr>
          <w:szCs w:val="32"/>
        </w:rPr>
        <w:t>Nota de estampa de lobo-guará entrou em circulação nesta quarta (2)</w:t>
      </w:r>
    </w:p>
    <w:p w:rsidR="003171ED" w:rsidRPr="003171ED" w:rsidRDefault="003171ED" w:rsidP="003171ED">
      <w:pPr>
        <w:pStyle w:val="texto-IEIJ"/>
        <w:jc w:val="center"/>
        <w:rPr>
          <w:szCs w:val="75"/>
        </w:rPr>
      </w:pPr>
    </w:p>
    <w:p w:rsidR="003171ED" w:rsidRPr="003171ED" w:rsidRDefault="003171ED" w:rsidP="003171ED">
      <w:pPr>
        <w:pStyle w:val="texto-IEIJ"/>
        <w:jc w:val="both"/>
        <w:rPr>
          <w:lang w:bidi="ar-SA"/>
        </w:rPr>
      </w:pPr>
      <w:r w:rsidRPr="003171ED">
        <w:rPr>
          <w:lang w:bidi="ar-SA"/>
        </w:rPr>
        <w:t>BRASÍLIA</w:t>
      </w:r>
    </w:p>
    <w:p w:rsidR="003171ED" w:rsidRPr="003171ED" w:rsidRDefault="003171ED" w:rsidP="003171ED">
      <w:pPr>
        <w:pStyle w:val="texto-IEIJ"/>
        <w:ind w:firstLine="709"/>
        <w:jc w:val="both"/>
        <w:rPr>
          <w:lang w:bidi="ar-SA"/>
        </w:rPr>
      </w:pPr>
      <w:r w:rsidRPr="003171ED">
        <w:rPr>
          <w:szCs w:val="34"/>
          <w:lang w:bidi="ar-SA"/>
        </w:rPr>
        <w:t>A </w:t>
      </w:r>
      <w:hyperlink r:id="rId9" w:history="1">
        <w:r w:rsidRPr="003171ED">
          <w:rPr>
            <w:lang w:bidi="ar-SA"/>
          </w:rPr>
          <w:t>nova nota de R$ 200 entrou oficialmente </w:t>
        </w:r>
      </w:hyperlink>
      <w:r w:rsidRPr="003171ED">
        <w:rPr>
          <w:szCs w:val="34"/>
          <w:lang w:bidi="ar-SA"/>
        </w:rPr>
        <w:t>em circulação nesta quarta-feira (2). O Banco Central divulgou imagens da cédula, que traz o lobo-guará como personagem.</w:t>
      </w:r>
    </w:p>
    <w:p w:rsidR="003171ED" w:rsidRPr="003171ED" w:rsidRDefault="003171ED" w:rsidP="003171ED">
      <w:pPr>
        <w:pStyle w:val="texto-IEIJ"/>
        <w:ind w:firstLine="709"/>
        <w:jc w:val="both"/>
        <w:rPr>
          <w:szCs w:val="34"/>
          <w:lang w:bidi="ar-SA"/>
        </w:rPr>
      </w:pPr>
      <w:r w:rsidRPr="003171ED">
        <w:rPr>
          <w:szCs w:val="34"/>
          <w:lang w:bidi="ar-SA"/>
        </w:rPr>
        <w:t xml:space="preserve">As cores da nova cédula são cinza e sépia e ela tem 142 por 65 milímetros, exatamente o mesmo tamanho da nota de R$ 20. O custo de aquisição para o BC é de R$ 325 a cada mil </w:t>
      </w:r>
      <w:proofErr w:type="gramStart"/>
      <w:r w:rsidRPr="003171ED">
        <w:rPr>
          <w:szCs w:val="34"/>
          <w:lang w:bidi="ar-SA"/>
        </w:rPr>
        <w:t>unidades.</w:t>
      </w:r>
      <w:proofErr w:type="gramEnd"/>
      <w:r w:rsidRPr="003171ED">
        <w:rPr>
          <w:szCs w:val="34"/>
          <w:lang w:bidi="ar-SA"/>
        </w:rPr>
        <w:t>​</w:t>
      </w:r>
    </w:p>
    <w:p w:rsidR="003171ED" w:rsidRDefault="003171ED" w:rsidP="003171ED">
      <w:pPr>
        <w:pStyle w:val="texto-IEIJ"/>
        <w:ind w:firstLine="709"/>
        <w:jc w:val="both"/>
        <w:rPr>
          <w:szCs w:val="34"/>
          <w:lang w:bidi="ar-SA"/>
        </w:rPr>
      </w:pPr>
      <w:r w:rsidRPr="003171ED">
        <w:rPr>
          <w:szCs w:val="34"/>
          <w:lang w:bidi="ar-SA"/>
        </w:rPr>
        <w:t>Em 2001, o BC fez uma enquete com a população com uma lista de animais em extinção para que elas escolhessem qual elas gostariam de ver estampados nas cédulas. Em primeiro lugar ficou a tartaruga-marinha, que está na nota de R$ 2, em segundo, o mico-leão dourado, que foi para a de R$ 20, e em terceiro lugar ficou o lobo-guará, que agora estampará a nota de R$ 200.</w:t>
      </w:r>
    </w:p>
    <w:p w:rsidR="00B5579F" w:rsidRDefault="00B5579F" w:rsidP="003171ED">
      <w:pPr>
        <w:pStyle w:val="texto-IEIJ"/>
        <w:ind w:firstLine="709"/>
        <w:jc w:val="both"/>
        <w:rPr>
          <w:szCs w:val="34"/>
          <w:lang w:bidi="ar-SA"/>
        </w:rPr>
      </w:pPr>
    </w:p>
    <w:p w:rsidR="003171ED" w:rsidRDefault="003171ED" w:rsidP="003171ED">
      <w:pPr>
        <w:pStyle w:val="texto-IEIJ"/>
        <w:jc w:val="center"/>
        <w:rPr>
          <w:szCs w:val="34"/>
          <w:lang w:bidi="ar-SA"/>
        </w:rPr>
      </w:pPr>
      <w:r>
        <w:rPr>
          <w:noProof/>
          <w:szCs w:val="34"/>
          <w:lang w:eastAsia="pt-BR" w:bidi="ar-SA"/>
        </w:rPr>
        <w:drawing>
          <wp:inline distT="0" distB="0" distL="0" distR="0">
            <wp:extent cx="4540250" cy="2169160"/>
            <wp:effectExtent l="19050" t="0" r="0"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540250" cy="2169160"/>
                    </a:xfrm>
                    <a:prstGeom prst="rect">
                      <a:avLst/>
                    </a:prstGeom>
                    <a:noFill/>
                    <a:ln w="9525">
                      <a:noFill/>
                      <a:miter lim="800000"/>
                      <a:headEnd/>
                      <a:tailEnd/>
                    </a:ln>
                  </pic:spPr>
                </pic:pic>
              </a:graphicData>
            </a:graphic>
          </wp:inline>
        </w:drawing>
      </w:r>
    </w:p>
    <w:p w:rsidR="00B821B9" w:rsidRDefault="00B821B9" w:rsidP="00481EA9">
      <w:pPr>
        <w:pStyle w:val="texto-IEIJ"/>
        <w:ind w:firstLine="709"/>
        <w:jc w:val="both"/>
        <w:rPr>
          <w:lang w:bidi="ar-SA"/>
        </w:rPr>
      </w:pPr>
    </w:p>
    <w:p w:rsidR="00B5579F" w:rsidRPr="00B5579F" w:rsidRDefault="00B5579F" w:rsidP="00481EA9">
      <w:pPr>
        <w:pStyle w:val="texto-IEIJ"/>
        <w:ind w:firstLine="709"/>
        <w:jc w:val="both"/>
        <w:rPr>
          <w:lang w:bidi="ar-SA"/>
        </w:rPr>
      </w:pPr>
      <w:r>
        <w:rPr>
          <w:lang w:bidi="ar-SA"/>
        </w:rPr>
        <w:lastRenderedPageBreak/>
        <w:t xml:space="preserve">No anverso, a cédula estampa a </w:t>
      </w:r>
      <w:hyperlink r:id="rId11" w:tooltip="Efígie" w:history="1">
        <w:r w:rsidR="00481EA9">
          <w:rPr>
            <w:lang w:bidi="ar-SA"/>
          </w:rPr>
          <w:t>e</w:t>
        </w:r>
        <w:r w:rsidRPr="00B5579F">
          <w:rPr>
            <w:lang w:bidi="ar-SA"/>
          </w:rPr>
          <w:t>fígie</w:t>
        </w:r>
      </w:hyperlink>
      <w:r w:rsidRPr="00B5579F">
        <w:rPr>
          <w:lang w:bidi="ar-SA"/>
        </w:rPr>
        <w:t> simbólica da </w:t>
      </w:r>
      <w:hyperlink r:id="rId12" w:tooltip="" w:history="1">
        <w:r w:rsidRPr="00B5579F">
          <w:rPr>
            <w:lang w:bidi="ar-SA"/>
          </w:rPr>
          <w:t>República</w:t>
        </w:r>
      </w:hyperlink>
      <w:r w:rsidRPr="00B5579F">
        <w:rPr>
          <w:lang w:bidi="ar-SA"/>
        </w:rPr>
        <w:t>, interpretada sob a forma de </w:t>
      </w:r>
      <w:hyperlink r:id="rId13" w:tooltip="Escultura" w:history="1">
        <w:r w:rsidRPr="00B5579F">
          <w:rPr>
            <w:lang w:bidi="ar-SA"/>
          </w:rPr>
          <w:t>escultura</w:t>
        </w:r>
      </w:hyperlink>
      <w:r w:rsidRPr="00B5579F">
        <w:rPr>
          <w:lang w:bidi="ar-SA"/>
        </w:rPr>
        <w:t>.</w:t>
      </w:r>
      <w:r w:rsidR="00481EA9">
        <w:rPr>
          <w:lang w:bidi="ar-SA"/>
        </w:rPr>
        <w:t xml:space="preserve"> No r</w:t>
      </w:r>
      <w:r w:rsidRPr="00B5579F">
        <w:rPr>
          <w:lang w:bidi="ar-SA"/>
        </w:rPr>
        <w:t>everso</w:t>
      </w:r>
      <w:r w:rsidR="00481EA9">
        <w:rPr>
          <w:lang w:bidi="ar-SA"/>
        </w:rPr>
        <w:t xml:space="preserve">, a </w:t>
      </w:r>
      <w:r w:rsidRPr="00B5579F">
        <w:rPr>
          <w:lang w:bidi="ar-SA"/>
        </w:rPr>
        <w:t>gravura de um </w:t>
      </w:r>
      <w:hyperlink r:id="rId14" w:tooltip="Lobo-guará" w:history="1">
        <w:r w:rsidRPr="00B5579F">
          <w:rPr>
            <w:lang w:bidi="ar-SA"/>
          </w:rPr>
          <w:t>Lobo-guará</w:t>
        </w:r>
      </w:hyperlink>
      <w:r w:rsidRPr="00B5579F">
        <w:rPr>
          <w:lang w:bidi="ar-SA"/>
        </w:rPr>
        <w:t> (</w:t>
      </w:r>
      <w:proofErr w:type="spellStart"/>
      <w:r w:rsidRPr="00B5579F">
        <w:rPr>
          <w:lang w:bidi="ar-SA"/>
        </w:rPr>
        <w:t>Chrysocyon</w:t>
      </w:r>
      <w:proofErr w:type="spellEnd"/>
      <w:r w:rsidRPr="00B5579F">
        <w:rPr>
          <w:lang w:bidi="ar-SA"/>
        </w:rPr>
        <w:t xml:space="preserve"> </w:t>
      </w:r>
      <w:proofErr w:type="spellStart"/>
      <w:r w:rsidRPr="00B5579F">
        <w:rPr>
          <w:lang w:bidi="ar-SA"/>
        </w:rPr>
        <w:t>brachyurus</w:t>
      </w:r>
      <w:proofErr w:type="spellEnd"/>
      <w:r w:rsidRPr="00B5579F">
        <w:rPr>
          <w:lang w:bidi="ar-SA"/>
        </w:rPr>
        <w:t>), </w:t>
      </w:r>
      <w:hyperlink r:id="rId15" w:tooltip="Canídeo" w:history="1">
        <w:r w:rsidRPr="00B5579F">
          <w:rPr>
            <w:lang w:bidi="ar-SA"/>
          </w:rPr>
          <w:t>canídeo</w:t>
        </w:r>
      </w:hyperlink>
      <w:r w:rsidRPr="00B5579F">
        <w:rPr>
          <w:lang w:bidi="ar-SA"/>
        </w:rPr>
        <w:t> típico do </w:t>
      </w:r>
      <w:hyperlink r:id="rId16" w:tooltip="Cerrado" w:history="1">
        <w:r w:rsidRPr="00B5579F">
          <w:rPr>
            <w:lang w:bidi="ar-SA"/>
          </w:rPr>
          <w:t>cerrado</w:t>
        </w:r>
      </w:hyperlink>
      <w:r w:rsidRPr="00B5579F">
        <w:rPr>
          <w:lang w:bidi="ar-SA"/>
        </w:rPr>
        <w:t> que pode ser encontrado na região central do </w:t>
      </w:r>
      <w:hyperlink r:id="rId17" w:tooltip="Brasil" w:history="1">
        <w:r w:rsidRPr="00B5579F">
          <w:rPr>
            <w:lang w:bidi="ar-SA"/>
          </w:rPr>
          <w:t>Brasil</w:t>
        </w:r>
      </w:hyperlink>
      <w:r w:rsidRPr="00B5579F">
        <w:rPr>
          <w:lang w:bidi="ar-SA"/>
        </w:rPr>
        <w:t> e de outros países sul-americanos.</w:t>
      </w:r>
    </w:p>
    <w:p w:rsidR="00B5579F" w:rsidRPr="003171ED" w:rsidRDefault="00B5579F" w:rsidP="00B5579F">
      <w:pPr>
        <w:pStyle w:val="texto-IEIJ"/>
        <w:jc w:val="both"/>
        <w:rPr>
          <w:szCs w:val="34"/>
          <w:lang w:bidi="ar-SA"/>
        </w:rPr>
      </w:pPr>
    </w:p>
    <w:p w:rsidR="003171ED" w:rsidRPr="00481EA9" w:rsidRDefault="003171ED" w:rsidP="003171ED">
      <w:pPr>
        <w:pStyle w:val="texto-IEIJ"/>
        <w:ind w:firstLine="709"/>
        <w:jc w:val="both"/>
        <w:rPr>
          <w:b/>
          <w:szCs w:val="34"/>
          <w:lang w:bidi="ar-SA"/>
        </w:rPr>
      </w:pPr>
      <w:r w:rsidRPr="00481EA9">
        <w:rPr>
          <w:b/>
          <w:szCs w:val="34"/>
          <w:lang w:bidi="ar-SA"/>
        </w:rPr>
        <w:t>Confira os elementos de segurança da nova cédula.</w:t>
      </w:r>
    </w:p>
    <w:p w:rsidR="003171ED" w:rsidRDefault="003171ED" w:rsidP="003171ED">
      <w:pPr>
        <w:pStyle w:val="texto-IEIJ"/>
        <w:jc w:val="both"/>
        <w:rPr>
          <w:szCs w:val="34"/>
          <w:lang w:bidi="ar-SA"/>
        </w:rPr>
      </w:pPr>
      <w:r>
        <w:rPr>
          <w:noProof/>
          <w:szCs w:val="34"/>
          <w:lang w:eastAsia="pt-BR" w:bidi="ar-SA"/>
        </w:rPr>
        <w:drawing>
          <wp:inline distT="0" distB="0" distL="0" distR="0">
            <wp:extent cx="6124575" cy="2519680"/>
            <wp:effectExtent l="1905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124575" cy="2519680"/>
                    </a:xfrm>
                    <a:prstGeom prst="rect">
                      <a:avLst/>
                    </a:prstGeom>
                    <a:noFill/>
                    <a:ln w="9525">
                      <a:noFill/>
                      <a:miter lim="800000"/>
                      <a:headEnd/>
                      <a:tailEnd/>
                    </a:ln>
                  </pic:spPr>
                </pic:pic>
              </a:graphicData>
            </a:graphic>
          </wp:inline>
        </w:drawing>
      </w:r>
    </w:p>
    <w:p w:rsidR="003171ED" w:rsidRPr="003171ED" w:rsidRDefault="003171ED" w:rsidP="003171ED">
      <w:pPr>
        <w:pStyle w:val="texto-IEIJ"/>
        <w:jc w:val="both"/>
        <w:rPr>
          <w:sz w:val="24"/>
          <w:szCs w:val="24"/>
        </w:rPr>
      </w:pPr>
      <w:r w:rsidRPr="003171ED">
        <w:rPr>
          <w:sz w:val="24"/>
          <w:szCs w:val="24"/>
        </w:rPr>
        <w:t>ELEMENTOS FLUORESCENTES</w:t>
      </w:r>
    </w:p>
    <w:p w:rsidR="003171ED" w:rsidRDefault="003171ED" w:rsidP="003171ED">
      <w:pPr>
        <w:pStyle w:val="texto-IEIJ"/>
        <w:jc w:val="both"/>
        <w:rPr>
          <w:sz w:val="24"/>
          <w:szCs w:val="24"/>
        </w:rPr>
      </w:pPr>
      <w:proofErr w:type="gramStart"/>
      <w:r w:rsidRPr="003171ED">
        <w:rPr>
          <w:sz w:val="24"/>
          <w:szCs w:val="24"/>
        </w:rPr>
        <w:t>Sob luz</w:t>
      </w:r>
      <w:proofErr w:type="gramEnd"/>
      <w:r w:rsidRPr="003171ED">
        <w:rPr>
          <w:sz w:val="24"/>
          <w:szCs w:val="24"/>
        </w:rPr>
        <w:t xml:space="preserve"> ultravioleta, é possível ver que o número 200 aparece na frente, um pouco acima do valor de face. Além disso, a numeração vermelha do verso fica </w:t>
      </w:r>
      <w:proofErr w:type="gramStart"/>
      <w:r w:rsidRPr="003171ED">
        <w:rPr>
          <w:sz w:val="24"/>
          <w:szCs w:val="24"/>
        </w:rPr>
        <w:t>amarela, e pequenos fios</w:t>
      </w:r>
      <w:proofErr w:type="gramEnd"/>
      <w:r w:rsidRPr="003171ED">
        <w:rPr>
          <w:sz w:val="24"/>
          <w:szCs w:val="24"/>
        </w:rPr>
        <w:t xml:space="preserve"> se tornam visíveis em vermelho, azul-claro e azul-escuro.</w:t>
      </w:r>
    </w:p>
    <w:p w:rsidR="003171ED" w:rsidRDefault="003171ED" w:rsidP="003171ED">
      <w:pPr>
        <w:pStyle w:val="texto-IEIJ"/>
        <w:jc w:val="both"/>
        <w:rPr>
          <w:sz w:val="24"/>
          <w:szCs w:val="24"/>
        </w:rPr>
      </w:pPr>
      <w:r>
        <w:rPr>
          <w:noProof/>
          <w:sz w:val="24"/>
          <w:szCs w:val="24"/>
          <w:lang w:eastAsia="pt-BR" w:bidi="ar-SA"/>
        </w:rPr>
        <w:drawing>
          <wp:inline distT="0" distB="0" distL="0" distR="0">
            <wp:extent cx="6113780" cy="2498725"/>
            <wp:effectExtent l="1905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113780" cy="2498725"/>
                    </a:xfrm>
                    <a:prstGeom prst="rect">
                      <a:avLst/>
                    </a:prstGeom>
                    <a:noFill/>
                    <a:ln w="9525">
                      <a:noFill/>
                      <a:miter lim="800000"/>
                      <a:headEnd/>
                      <a:tailEnd/>
                    </a:ln>
                  </pic:spPr>
                </pic:pic>
              </a:graphicData>
            </a:graphic>
          </wp:inline>
        </w:drawing>
      </w:r>
    </w:p>
    <w:p w:rsidR="003171ED" w:rsidRPr="003171ED" w:rsidRDefault="003171ED" w:rsidP="003171ED">
      <w:pPr>
        <w:pStyle w:val="texto-IEIJ"/>
        <w:jc w:val="both"/>
        <w:rPr>
          <w:sz w:val="24"/>
          <w:szCs w:val="24"/>
        </w:rPr>
      </w:pPr>
      <w:r w:rsidRPr="003171ED">
        <w:rPr>
          <w:sz w:val="24"/>
          <w:szCs w:val="24"/>
        </w:rPr>
        <w:t>ALTO-RELEVO</w:t>
      </w:r>
    </w:p>
    <w:p w:rsidR="003171ED" w:rsidRDefault="003171ED" w:rsidP="003171ED">
      <w:pPr>
        <w:pStyle w:val="texto-IEIJ"/>
        <w:jc w:val="both"/>
        <w:rPr>
          <w:sz w:val="24"/>
          <w:szCs w:val="24"/>
        </w:rPr>
      </w:pPr>
      <w:r w:rsidRPr="003171ED">
        <w:rPr>
          <w:sz w:val="24"/>
          <w:szCs w:val="24"/>
        </w:rPr>
        <w:t>Pelo tato, sente-se o relevo em algumas áreas da nota, como nas legendas "REPÚBLICA FEDERATIVA DO BRASIL", nos numerais que indicam no valor de face, nas laterais da frente da cédula, na faixa vertical de folhas, flores e frutos, na marca tátil e na efígie da República (frente) e no lobo-guará (verso).</w:t>
      </w:r>
    </w:p>
    <w:p w:rsidR="003171ED" w:rsidRDefault="00A239BB" w:rsidP="003171ED">
      <w:pPr>
        <w:pStyle w:val="texto-IEIJ"/>
        <w:jc w:val="both"/>
        <w:rPr>
          <w:sz w:val="24"/>
          <w:szCs w:val="24"/>
        </w:rPr>
      </w:pPr>
      <w:r>
        <w:rPr>
          <w:noProof/>
          <w:sz w:val="24"/>
          <w:szCs w:val="24"/>
          <w:lang w:eastAsia="pt-BR" w:bidi="ar-SA"/>
        </w:rPr>
        <w:lastRenderedPageBreak/>
        <w:drawing>
          <wp:inline distT="0" distB="0" distL="0" distR="0">
            <wp:extent cx="6113780" cy="1934845"/>
            <wp:effectExtent l="1905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113780" cy="1934845"/>
                    </a:xfrm>
                    <a:prstGeom prst="rect">
                      <a:avLst/>
                    </a:prstGeom>
                    <a:noFill/>
                    <a:ln w="9525">
                      <a:noFill/>
                      <a:miter lim="800000"/>
                      <a:headEnd/>
                      <a:tailEnd/>
                    </a:ln>
                  </pic:spPr>
                </pic:pic>
              </a:graphicData>
            </a:graphic>
          </wp:inline>
        </w:drawing>
      </w:r>
    </w:p>
    <w:p w:rsidR="00A239BB" w:rsidRPr="00A239BB" w:rsidRDefault="00A239BB" w:rsidP="00A239BB">
      <w:pPr>
        <w:pStyle w:val="texto-IEIJ"/>
        <w:jc w:val="both"/>
        <w:rPr>
          <w:sz w:val="24"/>
          <w:szCs w:val="24"/>
        </w:rPr>
      </w:pPr>
      <w:r w:rsidRPr="00A239BB">
        <w:rPr>
          <w:sz w:val="24"/>
          <w:szCs w:val="24"/>
        </w:rPr>
        <w:t>NÚMERO ESCONDIDO</w:t>
      </w:r>
    </w:p>
    <w:p w:rsidR="00A239BB" w:rsidRDefault="00A239BB" w:rsidP="00A239BB">
      <w:pPr>
        <w:pStyle w:val="texto-IEIJ"/>
        <w:jc w:val="both"/>
        <w:rPr>
          <w:sz w:val="24"/>
          <w:szCs w:val="24"/>
        </w:rPr>
      </w:pPr>
      <w:r w:rsidRPr="00A239BB">
        <w:rPr>
          <w:sz w:val="24"/>
          <w:szCs w:val="24"/>
        </w:rPr>
        <w:t>Ao colocar a nota à altura dos olhos, na posição horizontal e em local bastante iluminado, vê-se o número 200 aparecer próximo à parte de trás da efígie.</w:t>
      </w:r>
    </w:p>
    <w:p w:rsidR="00A239BB" w:rsidRDefault="00A239BB" w:rsidP="00A239BB">
      <w:pPr>
        <w:pStyle w:val="texto-IEIJ"/>
        <w:jc w:val="both"/>
        <w:rPr>
          <w:sz w:val="24"/>
          <w:szCs w:val="24"/>
        </w:rPr>
      </w:pPr>
      <w:r>
        <w:rPr>
          <w:noProof/>
          <w:sz w:val="24"/>
          <w:szCs w:val="24"/>
          <w:lang w:eastAsia="pt-BR" w:bidi="ar-SA"/>
        </w:rPr>
        <w:drawing>
          <wp:inline distT="0" distB="0" distL="0" distR="0">
            <wp:extent cx="6113780" cy="1892300"/>
            <wp:effectExtent l="1905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6113780" cy="1892300"/>
                    </a:xfrm>
                    <a:prstGeom prst="rect">
                      <a:avLst/>
                    </a:prstGeom>
                    <a:noFill/>
                    <a:ln w="9525">
                      <a:noFill/>
                      <a:miter lim="800000"/>
                      <a:headEnd/>
                      <a:tailEnd/>
                    </a:ln>
                  </pic:spPr>
                </pic:pic>
              </a:graphicData>
            </a:graphic>
          </wp:inline>
        </w:drawing>
      </w:r>
    </w:p>
    <w:p w:rsidR="00A239BB" w:rsidRPr="00A239BB" w:rsidRDefault="00A239BB" w:rsidP="00A239BB">
      <w:pPr>
        <w:pStyle w:val="texto-IEIJ"/>
        <w:rPr>
          <w:sz w:val="24"/>
          <w:szCs w:val="24"/>
        </w:rPr>
      </w:pPr>
      <w:r w:rsidRPr="00A239BB">
        <w:rPr>
          <w:sz w:val="24"/>
          <w:szCs w:val="24"/>
        </w:rPr>
        <w:t>FIO DE SEGURANÇA</w:t>
      </w:r>
    </w:p>
    <w:p w:rsidR="00A239BB" w:rsidRDefault="00A239BB" w:rsidP="00A239BB">
      <w:pPr>
        <w:pStyle w:val="texto-IEIJ"/>
        <w:rPr>
          <w:sz w:val="24"/>
          <w:szCs w:val="24"/>
        </w:rPr>
      </w:pPr>
      <w:r w:rsidRPr="00A239BB">
        <w:rPr>
          <w:sz w:val="24"/>
          <w:szCs w:val="24"/>
        </w:rPr>
        <w:t>Ao colocar a nota contra a luz, fica visível, próximo ao meio da nota, um fio escuro sem inscrições.</w:t>
      </w:r>
    </w:p>
    <w:p w:rsidR="00A239BB" w:rsidRDefault="00A239BB" w:rsidP="00A239BB">
      <w:pPr>
        <w:pStyle w:val="texto-IEIJ"/>
        <w:rPr>
          <w:sz w:val="24"/>
          <w:szCs w:val="24"/>
        </w:rPr>
      </w:pPr>
      <w:r>
        <w:rPr>
          <w:noProof/>
          <w:sz w:val="24"/>
          <w:szCs w:val="24"/>
          <w:lang w:eastAsia="pt-BR" w:bidi="ar-SA"/>
        </w:rPr>
        <w:drawing>
          <wp:inline distT="0" distB="0" distL="0" distR="0">
            <wp:extent cx="6113780" cy="1903095"/>
            <wp:effectExtent l="19050" t="0" r="127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6113780" cy="1903095"/>
                    </a:xfrm>
                    <a:prstGeom prst="rect">
                      <a:avLst/>
                    </a:prstGeom>
                    <a:noFill/>
                    <a:ln w="9525">
                      <a:noFill/>
                      <a:miter lim="800000"/>
                      <a:headEnd/>
                      <a:tailEnd/>
                    </a:ln>
                  </pic:spPr>
                </pic:pic>
              </a:graphicData>
            </a:graphic>
          </wp:inline>
        </w:drawing>
      </w:r>
    </w:p>
    <w:p w:rsidR="00A239BB" w:rsidRPr="00A239BB" w:rsidRDefault="00A239BB" w:rsidP="00A239BB">
      <w:pPr>
        <w:pStyle w:val="texto-IEIJ"/>
        <w:jc w:val="both"/>
        <w:rPr>
          <w:sz w:val="24"/>
          <w:szCs w:val="24"/>
        </w:rPr>
      </w:pPr>
      <w:r w:rsidRPr="00A239BB">
        <w:rPr>
          <w:sz w:val="24"/>
          <w:szCs w:val="24"/>
        </w:rPr>
        <w:t>QUEBRA-CABEÇA</w:t>
      </w:r>
    </w:p>
    <w:p w:rsidR="00A239BB" w:rsidRDefault="00A239BB" w:rsidP="00A239BB">
      <w:pPr>
        <w:pStyle w:val="texto-IEIJ"/>
        <w:jc w:val="both"/>
        <w:rPr>
          <w:sz w:val="24"/>
          <w:szCs w:val="24"/>
        </w:rPr>
      </w:pPr>
      <w:r w:rsidRPr="00A239BB">
        <w:rPr>
          <w:sz w:val="24"/>
          <w:szCs w:val="24"/>
        </w:rPr>
        <w:t>Ao colocar a nota contra a luz, é possível ver que as partes do desenho do verso completam as da frente, formando o número 200.</w:t>
      </w:r>
    </w:p>
    <w:p w:rsidR="00A239BB" w:rsidRDefault="00A239BB" w:rsidP="00A239BB">
      <w:pPr>
        <w:pStyle w:val="texto-IEIJ"/>
        <w:jc w:val="both"/>
        <w:rPr>
          <w:sz w:val="24"/>
          <w:szCs w:val="24"/>
        </w:rPr>
      </w:pPr>
      <w:r>
        <w:rPr>
          <w:noProof/>
          <w:sz w:val="24"/>
          <w:szCs w:val="24"/>
          <w:lang w:eastAsia="pt-BR" w:bidi="ar-SA"/>
        </w:rPr>
        <w:lastRenderedPageBreak/>
        <w:drawing>
          <wp:inline distT="0" distB="0" distL="0" distR="0">
            <wp:extent cx="6124575" cy="1913890"/>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6124575" cy="1913890"/>
                    </a:xfrm>
                    <a:prstGeom prst="rect">
                      <a:avLst/>
                    </a:prstGeom>
                    <a:noFill/>
                    <a:ln w="9525">
                      <a:noFill/>
                      <a:miter lim="800000"/>
                      <a:headEnd/>
                      <a:tailEnd/>
                    </a:ln>
                  </pic:spPr>
                </pic:pic>
              </a:graphicData>
            </a:graphic>
          </wp:inline>
        </w:drawing>
      </w:r>
    </w:p>
    <w:p w:rsidR="00A239BB" w:rsidRPr="00A239BB" w:rsidRDefault="00A239BB" w:rsidP="00A239BB">
      <w:pPr>
        <w:pStyle w:val="texto-IEIJ"/>
        <w:jc w:val="both"/>
        <w:rPr>
          <w:sz w:val="24"/>
          <w:szCs w:val="24"/>
        </w:rPr>
      </w:pPr>
      <w:proofErr w:type="spellStart"/>
      <w:r w:rsidRPr="00A239BB">
        <w:rPr>
          <w:sz w:val="24"/>
          <w:szCs w:val="24"/>
        </w:rPr>
        <w:t>MARCA-D'ÁGUA</w:t>
      </w:r>
      <w:proofErr w:type="spellEnd"/>
    </w:p>
    <w:p w:rsidR="00A239BB" w:rsidRDefault="00A239BB" w:rsidP="00A239BB">
      <w:pPr>
        <w:pStyle w:val="texto-IEIJ"/>
        <w:jc w:val="both"/>
        <w:rPr>
          <w:sz w:val="24"/>
          <w:szCs w:val="24"/>
        </w:rPr>
      </w:pPr>
      <w:r w:rsidRPr="00A239BB">
        <w:rPr>
          <w:sz w:val="24"/>
          <w:szCs w:val="24"/>
        </w:rPr>
        <w:t>Contra a luz, veem-se, na área mais clara da cédula, a figura de um lobo-guará e o número 200, em tons que variam do claro ao escuro.</w:t>
      </w:r>
    </w:p>
    <w:p w:rsidR="00A239BB" w:rsidRDefault="00A239BB" w:rsidP="00A239BB">
      <w:pPr>
        <w:pStyle w:val="texto-IEIJ"/>
        <w:jc w:val="both"/>
        <w:rPr>
          <w:sz w:val="24"/>
          <w:szCs w:val="24"/>
        </w:rPr>
      </w:pPr>
    </w:p>
    <w:p w:rsidR="00A239BB" w:rsidRDefault="00A239BB" w:rsidP="00A239BB">
      <w:pPr>
        <w:pStyle w:val="texto-IEIJ"/>
        <w:jc w:val="both"/>
        <w:rPr>
          <w:sz w:val="24"/>
          <w:szCs w:val="24"/>
        </w:rPr>
      </w:pPr>
      <w:r>
        <w:rPr>
          <w:noProof/>
          <w:sz w:val="24"/>
          <w:szCs w:val="24"/>
          <w:lang w:eastAsia="pt-BR" w:bidi="ar-SA"/>
        </w:rPr>
        <w:drawing>
          <wp:inline distT="0" distB="0" distL="0" distR="0">
            <wp:extent cx="6113780" cy="1934845"/>
            <wp:effectExtent l="19050" t="0" r="127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6113780" cy="1934845"/>
                    </a:xfrm>
                    <a:prstGeom prst="rect">
                      <a:avLst/>
                    </a:prstGeom>
                    <a:noFill/>
                    <a:ln w="9525">
                      <a:noFill/>
                      <a:miter lim="800000"/>
                      <a:headEnd/>
                      <a:tailEnd/>
                    </a:ln>
                  </pic:spPr>
                </pic:pic>
              </a:graphicData>
            </a:graphic>
          </wp:inline>
        </w:drawing>
      </w:r>
    </w:p>
    <w:p w:rsidR="00A239BB" w:rsidRPr="00A239BB" w:rsidRDefault="00A239BB" w:rsidP="00A239BB">
      <w:pPr>
        <w:pStyle w:val="texto-IEIJ"/>
        <w:jc w:val="both"/>
        <w:rPr>
          <w:sz w:val="24"/>
          <w:szCs w:val="24"/>
        </w:rPr>
      </w:pPr>
      <w:r w:rsidRPr="00A239BB">
        <w:rPr>
          <w:sz w:val="24"/>
          <w:szCs w:val="24"/>
        </w:rPr>
        <w:t>NÚMERO QUE MUDA DE COR</w:t>
      </w:r>
    </w:p>
    <w:p w:rsidR="00A239BB" w:rsidRDefault="00A239BB" w:rsidP="00A239BB">
      <w:pPr>
        <w:pStyle w:val="texto-IEIJ"/>
        <w:jc w:val="both"/>
        <w:rPr>
          <w:sz w:val="24"/>
          <w:szCs w:val="24"/>
        </w:rPr>
      </w:pPr>
      <w:r w:rsidRPr="00A239BB">
        <w:rPr>
          <w:sz w:val="24"/>
          <w:szCs w:val="24"/>
        </w:rPr>
        <w:t>Ao movimentar a nota, é possível ver que o número 200 muda de azul para verde. Uma faixa brilhante parece rolar pelo número.</w:t>
      </w:r>
    </w:p>
    <w:p w:rsidR="00A239BB" w:rsidRPr="00A239BB" w:rsidRDefault="00A239BB" w:rsidP="00A239BB">
      <w:pPr>
        <w:pStyle w:val="texto-IEIJ"/>
        <w:jc w:val="both"/>
        <w:rPr>
          <w:sz w:val="24"/>
          <w:szCs w:val="24"/>
        </w:rPr>
      </w:pPr>
      <w:r>
        <w:rPr>
          <w:noProof/>
          <w:sz w:val="24"/>
          <w:szCs w:val="24"/>
          <w:lang w:eastAsia="pt-BR" w:bidi="ar-SA"/>
        </w:rPr>
        <w:drawing>
          <wp:inline distT="0" distB="0" distL="0" distR="0">
            <wp:extent cx="6113780" cy="1828800"/>
            <wp:effectExtent l="19050" t="0" r="127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6113780" cy="1828800"/>
                    </a:xfrm>
                    <a:prstGeom prst="rect">
                      <a:avLst/>
                    </a:prstGeom>
                    <a:noFill/>
                    <a:ln w="9525">
                      <a:noFill/>
                      <a:miter lim="800000"/>
                      <a:headEnd/>
                      <a:tailEnd/>
                    </a:ln>
                  </pic:spPr>
                </pic:pic>
              </a:graphicData>
            </a:graphic>
          </wp:inline>
        </w:drawing>
      </w:r>
    </w:p>
    <w:p w:rsidR="00A239BB" w:rsidRPr="00A239BB" w:rsidRDefault="00A239BB" w:rsidP="00A239BB">
      <w:pPr>
        <w:pStyle w:val="texto-IEIJ"/>
        <w:jc w:val="both"/>
        <w:rPr>
          <w:sz w:val="24"/>
          <w:szCs w:val="24"/>
        </w:rPr>
      </w:pPr>
      <w:r w:rsidRPr="00A239BB">
        <w:rPr>
          <w:sz w:val="24"/>
          <w:szCs w:val="24"/>
        </w:rPr>
        <w:t>ALTO-RELEVO</w:t>
      </w:r>
    </w:p>
    <w:p w:rsidR="00A239BB" w:rsidRPr="00A239BB" w:rsidRDefault="00A239BB" w:rsidP="00A239BB">
      <w:pPr>
        <w:pStyle w:val="texto-IEIJ"/>
        <w:jc w:val="both"/>
        <w:rPr>
          <w:sz w:val="24"/>
          <w:szCs w:val="24"/>
        </w:rPr>
      </w:pPr>
      <w:r w:rsidRPr="00A239BB">
        <w:rPr>
          <w:sz w:val="24"/>
          <w:szCs w:val="24"/>
        </w:rPr>
        <w:t>Pelo tato, sente-se o relevo em algumas áreas da nota, como nas legendas "REPÚBLICA FEDERATIVA DO BRASIL", nos numerais que indicam no valor de face, nas laterais da frente da cédula, na faixa vertical de folhas, flores e frutos, na marca tátil e na efígie da República (frente) e no lobo-guará (verso).</w:t>
      </w:r>
    </w:p>
    <w:p w:rsidR="00A239BB" w:rsidRDefault="00A239BB" w:rsidP="00A239BB">
      <w:pPr>
        <w:pStyle w:val="texto-IEIJ"/>
        <w:jc w:val="both"/>
        <w:rPr>
          <w:sz w:val="24"/>
          <w:szCs w:val="24"/>
        </w:rPr>
      </w:pPr>
    </w:p>
    <w:p w:rsidR="00481EA9" w:rsidRDefault="00481EA9" w:rsidP="00A239BB">
      <w:pPr>
        <w:pStyle w:val="texto-IEIJ"/>
        <w:ind w:firstLine="709"/>
        <w:jc w:val="both"/>
        <w:rPr>
          <w:kern w:val="0"/>
          <w:lang w:bidi="ar-SA"/>
        </w:rPr>
      </w:pPr>
    </w:p>
    <w:p w:rsidR="00A239BB" w:rsidRPr="00A239BB" w:rsidRDefault="00A239BB" w:rsidP="00A239BB">
      <w:pPr>
        <w:pStyle w:val="texto-IEIJ"/>
        <w:ind w:firstLine="709"/>
        <w:jc w:val="both"/>
        <w:rPr>
          <w:kern w:val="0"/>
          <w:lang w:bidi="ar-SA"/>
        </w:rPr>
      </w:pPr>
      <w:r w:rsidRPr="00A239BB">
        <w:rPr>
          <w:kern w:val="0"/>
          <w:lang w:bidi="ar-SA"/>
        </w:rPr>
        <w:lastRenderedPageBreak/>
        <w:t>A mudança pode causar alguma dor de cabeça para consumidores e lojistas, em um país em que muitas vezes comerciantes sequer têm troco para uma simples nota de R$ 20 ou R$ 50.</w:t>
      </w:r>
    </w:p>
    <w:p w:rsidR="00A239BB" w:rsidRPr="00A239BB" w:rsidRDefault="00A239BB" w:rsidP="00A239BB">
      <w:pPr>
        <w:pStyle w:val="texto-IEIJ"/>
        <w:ind w:firstLine="709"/>
        <w:jc w:val="both"/>
        <w:rPr>
          <w:kern w:val="0"/>
          <w:lang w:bidi="ar-SA"/>
        </w:rPr>
      </w:pPr>
      <w:r w:rsidRPr="00A239BB">
        <w:rPr>
          <w:kern w:val="0"/>
          <w:lang w:bidi="ar-SA"/>
        </w:rPr>
        <w:t>Mas quando comparada com outros países, a nova nota — que estampa um lobo-guará em tons de cinza — ainda está longe de representar um enorme poder de compra.</w:t>
      </w:r>
    </w:p>
    <w:p w:rsidR="00A239BB" w:rsidRPr="00A239BB" w:rsidRDefault="00A239BB" w:rsidP="00A239BB">
      <w:pPr>
        <w:pStyle w:val="texto-IEIJ"/>
        <w:ind w:firstLine="709"/>
        <w:jc w:val="both"/>
        <w:rPr>
          <w:kern w:val="0"/>
          <w:lang w:bidi="ar-SA"/>
        </w:rPr>
      </w:pPr>
      <w:r w:rsidRPr="00A239BB">
        <w:rPr>
          <w:kern w:val="0"/>
          <w:lang w:bidi="ar-SA"/>
        </w:rPr>
        <w:t xml:space="preserve">No Brasil, são necessárias três das novas notas de R$ 200 para pagar o auxílio emergencial concedido pelo governo durante a pandemia de </w:t>
      </w:r>
      <w:proofErr w:type="spellStart"/>
      <w:r w:rsidRPr="00A239BB">
        <w:rPr>
          <w:kern w:val="0"/>
          <w:lang w:bidi="ar-SA"/>
        </w:rPr>
        <w:t>coronavírus</w:t>
      </w:r>
      <w:proofErr w:type="spellEnd"/>
      <w:r w:rsidRPr="00A239BB">
        <w:rPr>
          <w:kern w:val="0"/>
          <w:lang w:bidi="ar-SA"/>
        </w:rPr>
        <w:t>.</w:t>
      </w:r>
    </w:p>
    <w:p w:rsidR="00A239BB" w:rsidRDefault="00A239BB" w:rsidP="00A239BB">
      <w:pPr>
        <w:pStyle w:val="texto-IEIJ"/>
        <w:ind w:firstLine="709"/>
        <w:jc w:val="both"/>
        <w:rPr>
          <w:kern w:val="0"/>
          <w:lang w:bidi="ar-SA"/>
        </w:rPr>
      </w:pPr>
      <w:r w:rsidRPr="00A239BB">
        <w:rPr>
          <w:kern w:val="0"/>
          <w:lang w:bidi="ar-SA"/>
        </w:rPr>
        <w:t>Já na Europa, a maior nota de euro em circulação vale mais do que três salários mínimos brasileiros (a de 500 euros vale R$ 3.290). Elas raramente são usadas no dia-a-dia e é provável que a maioria dos europeus sequer tenha visto uma — sobretudo com meios de pagamentos eletrônicos desempenhando um papel cada vez maior na economia hoje em dia.</w:t>
      </w:r>
    </w:p>
    <w:p w:rsidR="00481EA9" w:rsidRDefault="00481EA9" w:rsidP="00A239BB">
      <w:pPr>
        <w:pStyle w:val="texto-IEIJ"/>
        <w:jc w:val="both"/>
        <w:rPr>
          <w:kern w:val="0"/>
          <w:lang w:bidi="ar-SA"/>
        </w:rPr>
      </w:pPr>
    </w:p>
    <w:p w:rsidR="00A239BB" w:rsidRDefault="00A239BB" w:rsidP="00A239BB">
      <w:pPr>
        <w:pStyle w:val="texto-IEIJ"/>
        <w:jc w:val="both"/>
        <w:rPr>
          <w:kern w:val="0"/>
          <w:lang w:bidi="ar-SA"/>
        </w:rPr>
      </w:pPr>
      <w:r>
        <w:rPr>
          <w:kern w:val="0"/>
          <w:lang w:bidi="ar-SA"/>
        </w:rPr>
        <w:t>PROPOSTA</w:t>
      </w:r>
    </w:p>
    <w:p w:rsidR="00A239BB" w:rsidRDefault="00B5579F" w:rsidP="00B5579F">
      <w:pPr>
        <w:pStyle w:val="texto-IEIJ"/>
        <w:numPr>
          <w:ilvl w:val="0"/>
          <w:numId w:val="32"/>
        </w:numPr>
        <w:jc w:val="both"/>
        <w:rPr>
          <w:kern w:val="0"/>
          <w:lang w:bidi="ar-SA"/>
        </w:rPr>
      </w:pPr>
      <w:r>
        <w:rPr>
          <w:kern w:val="0"/>
          <w:lang w:bidi="ar-SA"/>
        </w:rPr>
        <w:t xml:space="preserve">Elabore uma ficha técnica da cédula de R$200,00. </w:t>
      </w:r>
    </w:p>
    <w:p w:rsidR="00B5579F" w:rsidRDefault="00B5579F" w:rsidP="00B5579F">
      <w:pPr>
        <w:pStyle w:val="texto-IEIJ"/>
        <w:ind w:left="1065"/>
        <w:jc w:val="both"/>
        <w:rPr>
          <w:kern w:val="0"/>
          <w:lang w:bidi="ar-SA"/>
        </w:rPr>
      </w:pPr>
    </w:p>
    <w:tbl>
      <w:tblPr>
        <w:tblStyle w:val="Tabelacomgrade"/>
        <w:tblW w:w="0" w:type="auto"/>
        <w:tblLook w:val="04A0"/>
      </w:tblPr>
      <w:tblGrid>
        <w:gridCol w:w="2660"/>
        <w:gridCol w:w="7119"/>
      </w:tblGrid>
      <w:tr w:rsidR="00B5579F" w:rsidTr="005E6175">
        <w:tc>
          <w:tcPr>
            <w:tcW w:w="9779" w:type="dxa"/>
            <w:gridSpan w:val="2"/>
          </w:tcPr>
          <w:p w:rsidR="00B5579F" w:rsidRDefault="00B5579F" w:rsidP="00481EA9">
            <w:pPr>
              <w:pStyle w:val="texto-IEIJ"/>
              <w:spacing w:line="360" w:lineRule="auto"/>
              <w:jc w:val="center"/>
              <w:rPr>
                <w:kern w:val="0"/>
                <w:lang w:bidi="ar-SA"/>
              </w:rPr>
            </w:pPr>
            <w:r>
              <w:rPr>
                <w:kern w:val="0"/>
                <w:lang w:bidi="ar-SA"/>
              </w:rPr>
              <w:t>Cédula de R$ 200,00</w:t>
            </w:r>
          </w:p>
        </w:tc>
      </w:tr>
      <w:tr w:rsidR="00B5579F" w:rsidRPr="00481EA9" w:rsidTr="00B5579F">
        <w:tc>
          <w:tcPr>
            <w:tcW w:w="2660" w:type="dxa"/>
          </w:tcPr>
          <w:p w:rsidR="00B5579F" w:rsidRPr="00481EA9" w:rsidRDefault="00B5579F" w:rsidP="00481EA9">
            <w:pPr>
              <w:pStyle w:val="texto-IEIJ"/>
              <w:spacing w:line="360" w:lineRule="auto"/>
              <w:jc w:val="both"/>
              <w:rPr>
                <w:b/>
                <w:kern w:val="0"/>
                <w:lang w:bidi="ar-SA"/>
              </w:rPr>
            </w:pPr>
            <w:r w:rsidRPr="00481EA9">
              <w:rPr>
                <w:b/>
                <w:kern w:val="0"/>
                <w:lang w:bidi="ar-SA"/>
              </w:rPr>
              <w:t xml:space="preserve">Dimensões </w:t>
            </w:r>
          </w:p>
        </w:tc>
        <w:tc>
          <w:tcPr>
            <w:tcW w:w="7119" w:type="dxa"/>
          </w:tcPr>
          <w:p w:rsidR="00B5579F" w:rsidRDefault="00B5579F" w:rsidP="00481EA9">
            <w:pPr>
              <w:pStyle w:val="texto-IEIJ"/>
              <w:spacing w:line="360" w:lineRule="auto"/>
              <w:jc w:val="both"/>
              <w:rPr>
                <w:b/>
                <w:kern w:val="0"/>
                <w:lang w:bidi="ar-SA"/>
              </w:rPr>
            </w:pPr>
          </w:p>
          <w:p w:rsidR="00481EA9" w:rsidRPr="00481EA9" w:rsidRDefault="00481EA9" w:rsidP="00481EA9">
            <w:pPr>
              <w:pStyle w:val="texto-IEIJ"/>
              <w:spacing w:line="360" w:lineRule="auto"/>
              <w:jc w:val="both"/>
              <w:rPr>
                <w:b/>
                <w:kern w:val="0"/>
                <w:lang w:bidi="ar-SA"/>
              </w:rPr>
            </w:pPr>
          </w:p>
        </w:tc>
      </w:tr>
      <w:tr w:rsidR="00B5579F" w:rsidTr="00B5579F">
        <w:tc>
          <w:tcPr>
            <w:tcW w:w="2660" w:type="dxa"/>
          </w:tcPr>
          <w:p w:rsidR="00B5579F" w:rsidRDefault="00B5579F" w:rsidP="00481EA9">
            <w:pPr>
              <w:pStyle w:val="texto-IEIJ"/>
              <w:spacing w:line="360" w:lineRule="auto"/>
              <w:jc w:val="both"/>
              <w:rPr>
                <w:kern w:val="0"/>
                <w:lang w:bidi="ar-SA"/>
              </w:rPr>
            </w:pPr>
            <w:proofErr w:type="gramStart"/>
            <w:r>
              <w:rPr>
                <w:kern w:val="0"/>
                <w:lang w:bidi="ar-SA"/>
              </w:rPr>
              <w:t>Cor(</w:t>
            </w:r>
            <w:proofErr w:type="spellStart"/>
            <w:proofErr w:type="gramEnd"/>
            <w:r>
              <w:rPr>
                <w:kern w:val="0"/>
                <w:lang w:bidi="ar-SA"/>
              </w:rPr>
              <w:t>es</w:t>
            </w:r>
            <w:proofErr w:type="spellEnd"/>
            <w:r>
              <w:rPr>
                <w:kern w:val="0"/>
                <w:lang w:bidi="ar-SA"/>
              </w:rPr>
              <w:t>)</w:t>
            </w:r>
          </w:p>
        </w:tc>
        <w:tc>
          <w:tcPr>
            <w:tcW w:w="7119" w:type="dxa"/>
          </w:tcPr>
          <w:p w:rsidR="00B5579F" w:rsidRDefault="00B5579F" w:rsidP="00481EA9">
            <w:pPr>
              <w:pStyle w:val="texto-IEIJ"/>
              <w:spacing w:line="360" w:lineRule="auto"/>
              <w:jc w:val="both"/>
              <w:rPr>
                <w:kern w:val="0"/>
                <w:lang w:bidi="ar-SA"/>
              </w:rPr>
            </w:pPr>
          </w:p>
          <w:p w:rsidR="00481EA9" w:rsidRDefault="00481EA9" w:rsidP="00481EA9">
            <w:pPr>
              <w:pStyle w:val="texto-IEIJ"/>
              <w:spacing w:line="360" w:lineRule="auto"/>
              <w:jc w:val="both"/>
              <w:rPr>
                <w:kern w:val="0"/>
                <w:lang w:bidi="ar-SA"/>
              </w:rPr>
            </w:pPr>
          </w:p>
        </w:tc>
      </w:tr>
      <w:tr w:rsidR="00B5579F" w:rsidTr="00B5579F">
        <w:tc>
          <w:tcPr>
            <w:tcW w:w="2660" w:type="dxa"/>
          </w:tcPr>
          <w:p w:rsidR="00B5579F" w:rsidRDefault="00B5579F" w:rsidP="00481EA9">
            <w:pPr>
              <w:pStyle w:val="texto-IEIJ"/>
              <w:spacing w:line="360" w:lineRule="auto"/>
              <w:jc w:val="both"/>
              <w:rPr>
                <w:kern w:val="0"/>
                <w:lang w:bidi="ar-SA"/>
              </w:rPr>
            </w:pPr>
            <w:r>
              <w:rPr>
                <w:kern w:val="0"/>
                <w:lang w:bidi="ar-SA"/>
              </w:rPr>
              <w:t>Data de lançamento</w:t>
            </w:r>
          </w:p>
        </w:tc>
        <w:tc>
          <w:tcPr>
            <w:tcW w:w="7119" w:type="dxa"/>
          </w:tcPr>
          <w:p w:rsidR="00B5579F" w:rsidRDefault="00B5579F" w:rsidP="00481EA9">
            <w:pPr>
              <w:pStyle w:val="texto-IEIJ"/>
              <w:spacing w:line="360" w:lineRule="auto"/>
              <w:jc w:val="both"/>
              <w:rPr>
                <w:kern w:val="0"/>
                <w:lang w:bidi="ar-SA"/>
              </w:rPr>
            </w:pPr>
          </w:p>
          <w:p w:rsidR="00481EA9" w:rsidRDefault="00481EA9" w:rsidP="00481EA9">
            <w:pPr>
              <w:pStyle w:val="texto-IEIJ"/>
              <w:spacing w:line="360" w:lineRule="auto"/>
              <w:jc w:val="both"/>
              <w:rPr>
                <w:kern w:val="0"/>
                <w:lang w:bidi="ar-SA"/>
              </w:rPr>
            </w:pPr>
          </w:p>
        </w:tc>
      </w:tr>
      <w:tr w:rsidR="00B5579F" w:rsidTr="00B5579F">
        <w:tc>
          <w:tcPr>
            <w:tcW w:w="2660" w:type="dxa"/>
          </w:tcPr>
          <w:p w:rsidR="00B5579F" w:rsidRDefault="00B5579F" w:rsidP="00481EA9">
            <w:pPr>
              <w:pStyle w:val="texto-IEIJ"/>
              <w:spacing w:line="360" w:lineRule="auto"/>
              <w:jc w:val="both"/>
              <w:rPr>
                <w:kern w:val="0"/>
                <w:lang w:bidi="ar-SA"/>
              </w:rPr>
            </w:pPr>
            <w:r>
              <w:rPr>
                <w:kern w:val="0"/>
                <w:lang w:bidi="ar-SA"/>
              </w:rPr>
              <w:t>Animal símbolo</w:t>
            </w:r>
          </w:p>
        </w:tc>
        <w:tc>
          <w:tcPr>
            <w:tcW w:w="7119" w:type="dxa"/>
          </w:tcPr>
          <w:p w:rsidR="00B5579F" w:rsidRDefault="00B5579F" w:rsidP="00481EA9">
            <w:pPr>
              <w:pStyle w:val="texto-IEIJ"/>
              <w:spacing w:line="360" w:lineRule="auto"/>
              <w:jc w:val="both"/>
              <w:rPr>
                <w:kern w:val="0"/>
                <w:lang w:bidi="ar-SA"/>
              </w:rPr>
            </w:pPr>
          </w:p>
          <w:p w:rsidR="00481EA9" w:rsidRDefault="00481EA9" w:rsidP="00481EA9">
            <w:pPr>
              <w:pStyle w:val="texto-IEIJ"/>
              <w:spacing w:line="360" w:lineRule="auto"/>
              <w:jc w:val="both"/>
              <w:rPr>
                <w:kern w:val="0"/>
                <w:lang w:bidi="ar-SA"/>
              </w:rPr>
            </w:pPr>
          </w:p>
        </w:tc>
      </w:tr>
      <w:tr w:rsidR="00B5579F" w:rsidTr="00B5579F">
        <w:tc>
          <w:tcPr>
            <w:tcW w:w="2660" w:type="dxa"/>
          </w:tcPr>
          <w:p w:rsidR="00B5579F" w:rsidRDefault="00481EA9" w:rsidP="00481EA9">
            <w:pPr>
              <w:pStyle w:val="texto-IEIJ"/>
              <w:spacing w:line="360" w:lineRule="auto"/>
              <w:jc w:val="both"/>
              <w:rPr>
                <w:kern w:val="0"/>
                <w:lang w:bidi="ar-SA"/>
              </w:rPr>
            </w:pPr>
            <w:r>
              <w:rPr>
                <w:kern w:val="0"/>
                <w:lang w:bidi="ar-SA"/>
              </w:rPr>
              <w:t>Imagem do anverso</w:t>
            </w:r>
          </w:p>
        </w:tc>
        <w:tc>
          <w:tcPr>
            <w:tcW w:w="7119" w:type="dxa"/>
          </w:tcPr>
          <w:p w:rsidR="00B5579F" w:rsidRDefault="00B5579F" w:rsidP="00481EA9">
            <w:pPr>
              <w:pStyle w:val="texto-IEIJ"/>
              <w:spacing w:line="360" w:lineRule="auto"/>
              <w:jc w:val="both"/>
              <w:rPr>
                <w:kern w:val="0"/>
                <w:lang w:bidi="ar-SA"/>
              </w:rPr>
            </w:pPr>
          </w:p>
          <w:p w:rsidR="00481EA9" w:rsidRDefault="00481EA9" w:rsidP="00481EA9">
            <w:pPr>
              <w:pStyle w:val="texto-IEIJ"/>
              <w:spacing w:line="360" w:lineRule="auto"/>
              <w:jc w:val="both"/>
              <w:rPr>
                <w:kern w:val="0"/>
                <w:lang w:bidi="ar-SA"/>
              </w:rPr>
            </w:pPr>
          </w:p>
        </w:tc>
      </w:tr>
    </w:tbl>
    <w:p w:rsidR="00A239BB" w:rsidRDefault="00A239BB" w:rsidP="00481EA9">
      <w:pPr>
        <w:pStyle w:val="texto-IEIJ"/>
        <w:jc w:val="both"/>
        <w:rPr>
          <w:kern w:val="0"/>
          <w:lang w:bidi="ar-SA"/>
        </w:rPr>
      </w:pPr>
    </w:p>
    <w:p w:rsidR="00481EA9" w:rsidRDefault="00481EA9" w:rsidP="00481EA9">
      <w:pPr>
        <w:pStyle w:val="texto-IEIJ"/>
        <w:numPr>
          <w:ilvl w:val="0"/>
          <w:numId w:val="32"/>
        </w:numPr>
        <w:jc w:val="both"/>
        <w:rPr>
          <w:kern w:val="0"/>
          <w:lang w:bidi="ar-SA"/>
        </w:rPr>
      </w:pPr>
      <w:r>
        <w:rPr>
          <w:kern w:val="0"/>
          <w:lang w:bidi="ar-SA"/>
        </w:rPr>
        <w:lastRenderedPageBreak/>
        <w:t xml:space="preserve">Liste os elementos de segurança da nova cédula. </w:t>
      </w:r>
    </w:p>
    <w:p w:rsidR="00481EA9" w:rsidRDefault="00481EA9" w:rsidP="00481EA9">
      <w:pPr>
        <w:pStyle w:val="texto-IEIJ"/>
        <w:jc w:val="both"/>
        <w:rPr>
          <w:kern w:val="0"/>
          <w:lang w:bidi="ar-SA"/>
        </w:rPr>
      </w:pPr>
    </w:p>
    <w:p w:rsidR="000579C9" w:rsidRDefault="00481EA9" w:rsidP="00481EA9">
      <w:pPr>
        <w:pStyle w:val="texto-IEIJ"/>
        <w:jc w:val="center"/>
      </w:pPr>
      <w:r>
        <w:rPr>
          <w:noProof/>
          <w:kern w:val="0"/>
          <w:lang w:eastAsia="pt-BR" w:bidi="ar-SA"/>
        </w:rPr>
        <w:drawing>
          <wp:inline distT="0" distB="0" distL="0" distR="0">
            <wp:extent cx="5626838" cy="7653908"/>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633779" cy="7663349"/>
                    </a:xfrm>
                    <a:prstGeom prst="rect">
                      <a:avLst/>
                    </a:prstGeom>
                    <a:noFill/>
                    <a:ln w="9525">
                      <a:noFill/>
                      <a:miter lim="800000"/>
                      <a:headEnd/>
                      <a:tailEnd/>
                    </a:ln>
                  </pic:spPr>
                </pic:pic>
              </a:graphicData>
            </a:graphic>
          </wp:inline>
        </w:drawing>
      </w:r>
    </w:p>
    <w:sectPr w:rsidR="000579C9" w:rsidSect="00037E86">
      <w:headerReference w:type="default" r:id="rId27"/>
      <w:headerReference w:type="first" r:id="rId28"/>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14F" w:rsidRDefault="0086514F">
      <w:r>
        <w:separator/>
      </w:r>
    </w:p>
  </w:endnote>
  <w:endnote w:type="continuationSeparator" w:id="0">
    <w:p w:rsidR="0086514F" w:rsidRDefault="0086514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14F" w:rsidRDefault="0086514F">
      <w:r>
        <w:separator/>
      </w:r>
    </w:p>
  </w:footnote>
  <w:footnote w:type="continuationSeparator" w:id="0">
    <w:p w:rsidR="0086514F" w:rsidRDefault="008651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3171ED">
            <w:rPr>
              <w:rFonts w:asciiTheme="minorHAnsi" w:hAnsiTheme="minorHAnsi"/>
              <w:noProof/>
              <w:lang w:eastAsia="pt-BR" w:bidi="ar-SA"/>
            </w:rPr>
            <w:t>6</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3171ED">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3171ED">
            <w:rPr>
              <w:rFonts w:asciiTheme="minorHAnsi" w:hAnsiTheme="minorHAnsi"/>
              <w:b/>
              <w:noProof/>
              <w:lang w:eastAsia="pt-BR" w:bidi="ar-SA"/>
            </w:rPr>
            <w:t>1</w:t>
          </w:r>
        </w:p>
      </w:tc>
      <w:tc>
        <w:tcPr>
          <w:tcW w:w="2268" w:type="dxa"/>
          <w:tcBorders>
            <w:top w:val="single" w:sz="4" w:space="0" w:color="auto"/>
          </w:tcBorders>
          <w:vAlign w:val="bottom"/>
        </w:tcPr>
        <w:p w:rsidR="00943633" w:rsidRPr="00342091" w:rsidRDefault="00481EA9" w:rsidP="007534F0">
          <w:pPr>
            <w:tabs>
              <w:tab w:val="left" w:pos="7371"/>
            </w:tabs>
            <w:spacing w:before="40"/>
            <w:rPr>
              <w:rFonts w:asciiTheme="minorHAnsi" w:hAnsiTheme="minorHAnsi"/>
              <w:b/>
              <w:noProof/>
              <w:lang w:eastAsia="pt-BR" w:bidi="ar-SA"/>
            </w:rPr>
          </w:pPr>
          <w:r>
            <w:rPr>
              <w:rFonts w:asciiTheme="minorHAnsi" w:hAnsiTheme="minorHAnsi"/>
              <w:b/>
              <w:noProof/>
              <w:lang w:eastAsia="pt-BR" w:bidi="ar-SA"/>
            </w:rPr>
            <w:t>Grupo Alfa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3402BE"/>
    <w:multiLevelType w:val="hybridMultilevel"/>
    <w:tmpl w:val="7ECCF69C"/>
    <w:lvl w:ilvl="0" w:tplc="DA44EE7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6F66884"/>
    <w:multiLevelType w:val="multilevel"/>
    <w:tmpl w:val="BE18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645F5C"/>
    <w:multiLevelType w:val="hybridMultilevel"/>
    <w:tmpl w:val="1042003C"/>
    <w:lvl w:ilvl="0" w:tplc="BEFA202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4">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5"/>
  </w:num>
  <w:num w:numId="3">
    <w:abstractNumId w:val="2"/>
  </w:num>
  <w:num w:numId="4">
    <w:abstractNumId w:val="0"/>
  </w:num>
  <w:num w:numId="5">
    <w:abstractNumId w:val="17"/>
  </w:num>
  <w:num w:numId="6">
    <w:abstractNumId w:val="32"/>
  </w:num>
  <w:num w:numId="7">
    <w:abstractNumId w:val="18"/>
  </w:num>
  <w:num w:numId="8">
    <w:abstractNumId w:val="30"/>
  </w:num>
  <w:num w:numId="9">
    <w:abstractNumId w:val="8"/>
  </w:num>
  <w:num w:numId="10">
    <w:abstractNumId w:val="27"/>
  </w:num>
  <w:num w:numId="11">
    <w:abstractNumId w:val="9"/>
  </w:num>
  <w:num w:numId="12">
    <w:abstractNumId w:val="31"/>
  </w:num>
  <w:num w:numId="13">
    <w:abstractNumId w:val="19"/>
  </w:num>
  <w:num w:numId="14">
    <w:abstractNumId w:val="24"/>
  </w:num>
  <w:num w:numId="15">
    <w:abstractNumId w:val="6"/>
  </w:num>
  <w:num w:numId="16">
    <w:abstractNumId w:val="25"/>
  </w:num>
  <w:num w:numId="17">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21"/>
  </w:num>
  <w:num w:numId="20">
    <w:abstractNumId w:val="23"/>
  </w:num>
  <w:num w:numId="21">
    <w:abstractNumId w:val="29"/>
  </w:num>
  <w:num w:numId="22">
    <w:abstractNumId w:val="10"/>
  </w:num>
  <w:num w:numId="23">
    <w:abstractNumId w:val="3"/>
  </w:num>
  <w:num w:numId="24">
    <w:abstractNumId w:val="28"/>
  </w:num>
  <w:num w:numId="25">
    <w:abstractNumId w:val="7"/>
  </w:num>
  <w:num w:numId="26">
    <w:abstractNumId w:val="22"/>
  </w:num>
  <w:num w:numId="27">
    <w:abstractNumId w:val="26"/>
  </w:num>
  <w:num w:numId="28">
    <w:abstractNumId w:val="13"/>
  </w:num>
  <w:num w:numId="29">
    <w:abstractNumId w:val="15"/>
  </w:num>
  <w:num w:numId="30">
    <w:abstractNumId w:val="11"/>
  </w:num>
  <w:num w:numId="31">
    <w:abstractNumId w:val="4"/>
  </w:num>
  <w:num w:numId="32">
    <w:abstractNumId w:val="14"/>
  </w:num>
  <w:num w:numId="33">
    <w:abstractNumId w:val="1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64866">
      <o:colormenu v:ext="edit" fillcolor="#92d050" strokecolor="red"/>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6815"/>
    <w:rsid w:val="00010D7F"/>
    <w:rsid w:val="00013439"/>
    <w:rsid w:val="000134E1"/>
    <w:rsid w:val="00014E03"/>
    <w:rsid w:val="0001505C"/>
    <w:rsid w:val="000173D7"/>
    <w:rsid w:val="00021DE7"/>
    <w:rsid w:val="00023E81"/>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E0345"/>
    <w:rsid w:val="000E0D5B"/>
    <w:rsid w:val="000E3081"/>
    <w:rsid w:val="000E3894"/>
    <w:rsid w:val="000E6381"/>
    <w:rsid w:val="000E7F1B"/>
    <w:rsid w:val="000F0342"/>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1BEC"/>
    <w:rsid w:val="0021240D"/>
    <w:rsid w:val="00212449"/>
    <w:rsid w:val="00214501"/>
    <w:rsid w:val="00215B8F"/>
    <w:rsid w:val="00222686"/>
    <w:rsid w:val="002251AE"/>
    <w:rsid w:val="0022672F"/>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4046"/>
    <w:rsid w:val="002B4ACD"/>
    <w:rsid w:val="002B4EE5"/>
    <w:rsid w:val="002C0D54"/>
    <w:rsid w:val="002C3A30"/>
    <w:rsid w:val="002C786D"/>
    <w:rsid w:val="002D26D9"/>
    <w:rsid w:val="002D341C"/>
    <w:rsid w:val="002D4898"/>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59D1"/>
    <w:rsid w:val="003B05FD"/>
    <w:rsid w:val="003B14D5"/>
    <w:rsid w:val="003C4750"/>
    <w:rsid w:val="003C5E9F"/>
    <w:rsid w:val="003C6F26"/>
    <w:rsid w:val="003D4A94"/>
    <w:rsid w:val="003D6A1C"/>
    <w:rsid w:val="003E0073"/>
    <w:rsid w:val="003E04E1"/>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1B31"/>
    <w:rsid w:val="00423176"/>
    <w:rsid w:val="00423A1D"/>
    <w:rsid w:val="00423BA0"/>
    <w:rsid w:val="00425F65"/>
    <w:rsid w:val="0043024D"/>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55EA"/>
    <w:rsid w:val="005160DB"/>
    <w:rsid w:val="005161AB"/>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63E0"/>
    <w:rsid w:val="00597E15"/>
    <w:rsid w:val="005A1041"/>
    <w:rsid w:val="005A19A1"/>
    <w:rsid w:val="005A2010"/>
    <w:rsid w:val="005A2C96"/>
    <w:rsid w:val="005A552B"/>
    <w:rsid w:val="005A5C3B"/>
    <w:rsid w:val="005B5D2A"/>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5ED9"/>
    <w:rsid w:val="006374EA"/>
    <w:rsid w:val="006378D7"/>
    <w:rsid w:val="006445CF"/>
    <w:rsid w:val="0064715C"/>
    <w:rsid w:val="00652E93"/>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7355"/>
    <w:rsid w:val="00746095"/>
    <w:rsid w:val="00747EA3"/>
    <w:rsid w:val="007534F0"/>
    <w:rsid w:val="00753C66"/>
    <w:rsid w:val="00761732"/>
    <w:rsid w:val="007622C1"/>
    <w:rsid w:val="00763BAE"/>
    <w:rsid w:val="00764B6F"/>
    <w:rsid w:val="00767970"/>
    <w:rsid w:val="007707ED"/>
    <w:rsid w:val="00775C60"/>
    <w:rsid w:val="00780AFB"/>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11484"/>
    <w:rsid w:val="008134AA"/>
    <w:rsid w:val="0082066C"/>
    <w:rsid w:val="0082314B"/>
    <w:rsid w:val="008235F1"/>
    <w:rsid w:val="0082370A"/>
    <w:rsid w:val="0082438B"/>
    <w:rsid w:val="0082537D"/>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C118F"/>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C6C"/>
    <w:rsid w:val="00A8372D"/>
    <w:rsid w:val="00A87224"/>
    <w:rsid w:val="00A91530"/>
    <w:rsid w:val="00A92684"/>
    <w:rsid w:val="00A93B22"/>
    <w:rsid w:val="00AA135D"/>
    <w:rsid w:val="00AA5FAD"/>
    <w:rsid w:val="00AA6D3B"/>
    <w:rsid w:val="00AB00B4"/>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C7ACE"/>
    <w:rsid w:val="00AD3ABE"/>
    <w:rsid w:val="00AD74C7"/>
    <w:rsid w:val="00AE09FC"/>
    <w:rsid w:val="00AE1A1B"/>
    <w:rsid w:val="00AF0513"/>
    <w:rsid w:val="00AF08A1"/>
    <w:rsid w:val="00AF46A2"/>
    <w:rsid w:val="00AF5305"/>
    <w:rsid w:val="00AF659D"/>
    <w:rsid w:val="00AF6EA1"/>
    <w:rsid w:val="00AF7745"/>
    <w:rsid w:val="00AF7F84"/>
    <w:rsid w:val="00B01C05"/>
    <w:rsid w:val="00B03161"/>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4B24"/>
    <w:rsid w:val="00B6645A"/>
    <w:rsid w:val="00B73E09"/>
    <w:rsid w:val="00B764A5"/>
    <w:rsid w:val="00B80060"/>
    <w:rsid w:val="00B80755"/>
    <w:rsid w:val="00B8123F"/>
    <w:rsid w:val="00B817D2"/>
    <w:rsid w:val="00B81BD0"/>
    <w:rsid w:val="00B821B9"/>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7340"/>
    <w:rsid w:val="00C723C6"/>
    <w:rsid w:val="00C72F03"/>
    <w:rsid w:val="00C750E6"/>
    <w:rsid w:val="00C759B0"/>
    <w:rsid w:val="00C76476"/>
    <w:rsid w:val="00C813F6"/>
    <w:rsid w:val="00C83156"/>
    <w:rsid w:val="00C84D65"/>
    <w:rsid w:val="00C85C19"/>
    <w:rsid w:val="00C85F19"/>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1A8"/>
    <w:rsid w:val="00CF4CC5"/>
    <w:rsid w:val="00D00DFD"/>
    <w:rsid w:val="00D047DB"/>
    <w:rsid w:val="00D049FC"/>
    <w:rsid w:val="00D06D67"/>
    <w:rsid w:val="00D10074"/>
    <w:rsid w:val="00D1151C"/>
    <w:rsid w:val="00D119B8"/>
    <w:rsid w:val="00D1262D"/>
    <w:rsid w:val="00D15678"/>
    <w:rsid w:val="00D15877"/>
    <w:rsid w:val="00D15F5E"/>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62F1"/>
    <w:rsid w:val="00E03E64"/>
    <w:rsid w:val="00E04037"/>
    <w:rsid w:val="00E04256"/>
    <w:rsid w:val="00E0608D"/>
    <w:rsid w:val="00E06FD8"/>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F00C68"/>
    <w:rsid w:val="00F046A3"/>
    <w:rsid w:val="00F05E38"/>
    <w:rsid w:val="00F11CA8"/>
    <w:rsid w:val="00F147CB"/>
    <w:rsid w:val="00F151AB"/>
    <w:rsid w:val="00F1774D"/>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4866">
      <o:colormenu v:ext="edit" fillcolor="#92d050"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62FC"/>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B821B9"/>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48"/>
      <w:szCs w:val="48"/>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0579C9"/>
    <w:pPr>
      <w:keepNext w:val="0"/>
      <w:spacing w:before="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t.wikipedia.org/wiki/Escultura"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t.wikipedia.org/wiki/Rep%C3%BAblica" TargetMode="External"/><Relationship Id="rId17" Type="http://schemas.openxmlformats.org/officeDocument/2006/relationships/hyperlink" Target="https://pt.wikipedia.org/wiki/Brasil"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pt.wikipedia.org/wiki/Cerrado"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Ef%C3%ADgie"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pt.wikipedia.org/wiki/Can%C3%ADdeo" TargetMode="Externa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1.folha.uol.com.br/mercado/2020/09/nota-de-r-200-entra-em-circulacao-confira-imagens.shtml" TargetMode="External"/><Relationship Id="rId14" Type="http://schemas.openxmlformats.org/officeDocument/2006/relationships/hyperlink" Target="https://pt.wikipedia.org/wiki/Lobo-guar%C3%A1"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0A11E-AD80-4B1D-BF9D-E7573458E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6</Pages>
  <Words>701</Words>
  <Characters>3789</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2020-08-30T19:29:00Z</cp:lastPrinted>
  <dcterms:created xsi:type="dcterms:W3CDTF">2020-09-13T19:41:00Z</dcterms:created>
  <dcterms:modified xsi:type="dcterms:W3CDTF">2020-09-13T19:41:00Z</dcterms:modified>
</cp:coreProperties>
</file>