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5C9C" w:rsidRDefault="00655C9C" w:rsidP="00655C9C">
      <w:pPr>
        <w:pStyle w:val="01Ttulo-IEIJ"/>
      </w:pPr>
      <w:r>
        <w:t>Amazônia e as curiosidades</w:t>
      </w:r>
      <w:r w:rsidR="00807AA2">
        <w:rPr>
          <w:noProof/>
        </w:rPr>
        <w:drawing>
          <wp:inline distT="0" distB="0" distL="0" distR="0">
            <wp:extent cx="1339850" cy="330835"/>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339850" cy="330835"/>
                    </a:xfrm>
                    <a:prstGeom prst="rect">
                      <a:avLst/>
                    </a:prstGeom>
                    <a:noFill/>
                    <a:ln w="9525">
                      <a:noFill/>
                      <a:miter lim="800000"/>
                      <a:headEnd/>
                      <a:tailEnd/>
                    </a:ln>
                  </pic:spPr>
                </pic:pic>
              </a:graphicData>
            </a:graphic>
          </wp:inline>
        </w:drawing>
      </w:r>
    </w:p>
    <w:p w:rsidR="0017779C" w:rsidRPr="00DF241C" w:rsidRDefault="0017779C" w:rsidP="00DF241C">
      <w:pPr>
        <w:pStyle w:val="texto-IEIJ"/>
        <w:jc w:val="center"/>
        <w:rPr>
          <w:b/>
        </w:rPr>
      </w:pPr>
      <w:r w:rsidRPr="00DF241C">
        <w:rPr>
          <w:b/>
        </w:rPr>
        <w:t>TCHAU, INVERNO!</w:t>
      </w:r>
    </w:p>
    <w:p w:rsidR="00DF241C" w:rsidRDefault="00DF241C" w:rsidP="00DF241C">
      <w:pPr>
        <w:rPr>
          <w:rStyle w:val="Hyperlink"/>
          <w:color w:val="003158"/>
          <w:u w:val="none"/>
        </w:rPr>
      </w:pPr>
      <w:r>
        <w:fldChar w:fldCharType="begin"/>
      </w:r>
      <w:r>
        <w:instrText xml:space="preserve"> HYPERLINK "https://www.tribunapr.com.br/" </w:instrText>
      </w:r>
      <w:r>
        <w:fldChar w:fldCharType="separate"/>
      </w:r>
    </w:p>
    <w:p w:rsidR="00DF241C" w:rsidRDefault="00DF241C" w:rsidP="00DF241C">
      <w:pPr>
        <w:rPr>
          <w:color w:val="777777"/>
        </w:rPr>
      </w:pPr>
      <w:proofErr w:type="gramStart"/>
      <w:r>
        <w:rPr>
          <w:rStyle w:val="post-author-name"/>
          <w:i/>
          <w:iCs/>
          <w:color w:val="333333"/>
        </w:rPr>
        <w:t>por</w:t>
      </w:r>
      <w:proofErr w:type="gramEnd"/>
      <w:r>
        <w:rPr>
          <w:rStyle w:val="post-author-name"/>
          <w:i/>
          <w:iCs/>
          <w:color w:val="333333"/>
        </w:rPr>
        <w:t xml:space="preserve"> Redação / Tribuna do Paraná, </w:t>
      </w:r>
      <w:r>
        <w:rPr>
          <w:color w:val="777777"/>
        </w:rPr>
        <w:t>20/09/20 14h15 </w:t>
      </w:r>
    </w:p>
    <w:p w:rsidR="00DF241C" w:rsidRDefault="00DF241C" w:rsidP="00DF241C">
      <w:r>
        <w:fldChar w:fldCharType="end"/>
      </w:r>
    </w:p>
    <w:p w:rsidR="0017779C" w:rsidRDefault="00DF241C" w:rsidP="0017779C">
      <w:pPr>
        <w:pStyle w:val="03Texto-IEIJ"/>
      </w:pPr>
      <w:r>
        <w:rPr>
          <w:noProof/>
        </w:rPr>
        <w:drawing>
          <wp:inline distT="0" distB="0" distL="0" distR="0">
            <wp:extent cx="6120765" cy="3467830"/>
            <wp:effectExtent l="19050" t="0" r="0" b="0"/>
            <wp:docPr id="4" name="Imagem 1" descr="https://www.tribunapr.com.br/wp-content/uploads/2020/09/20141431/TERRA-97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bunapr.com.br/wp-content/uploads/2020/09/20141431/TERRA-970x550.jpg"/>
                    <pic:cNvPicPr>
                      <a:picLocks noChangeAspect="1" noChangeArrowheads="1"/>
                    </pic:cNvPicPr>
                  </pic:nvPicPr>
                  <pic:blipFill>
                    <a:blip r:embed="rId9" cstate="print"/>
                    <a:srcRect/>
                    <a:stretch>
                      <a:fillRect/>
                    </a:stretch>
                  </pic:blipFill>
                  <pic:spPr bwMode="auto">
                    <a:xfrm>
                      <a:off x="0" y="0"/>
                      <a:ext cx="6120765" cy="3467830"/>
                    </a:xfrm>
                    <a:prstGeom prst="rect">
                      <a:avLst/>
                    </a:prstGeom>
                    <a:noFill/>
                    <a:ln w="9525">
                      <a:noFill/>
                      <a:miter lim="800000"/>
                      <a:headEnd/>
                      <a:tailEnd/>
                    </a:ln>
                  </pic:spPr>
                </pic:pic>
              </a:graphicData>
            </a:graphic>
          </wp:inline>
        </w:drawing>
      </w:r>
    </w:p>
    <w:p w:rsidR="00DF241C" w:rsidRDefault="00DF241C" w:rsidP="00DF241C">
      <w:pPr>
        <w:pStyle w:val="texto-IEIJ"/>
        <w:ind w:firstLine="709"/>
        <w:jc w:val="both"/>
        <w:rPr>
          <w:szCs w:val="50"/>
          <w:shd w:val="clear" w:color="auto" w:fill="FFFFFF"/>
        </w:rPr>
      </w:pPr>
      <w:r w:rsidRPr="00DF241C">
        <w:rPr>
          <w:szCs w:val="50"/>
          <w:shd w:val="clear" w:color="auto" w:fill="FFFFFF"/>
        </w:rPr>
        <w:t>Uma ação virtual conjunta entre os planetários de todo o país vai dar as boas vindas para a primavera, estação do ano que começa a vigorar às 10h31 desta terça-feira (22) em todo o Hemisfério Sul. Trata-se do equinócio da primavera, um ponto da órbita do nosso planeta que marca o início de uma estação do ano, neste caso a primavera. </w:t>
      </w:r>
      <w:hyperlink r:id="rId10" w:history="1">
        <w:r w:rsidRPr="00DF241C">
          <w:rPr>
            <w:rStyle w:val="Hyperlink"/>
            <w:color w:val="auto"/>
            <w:szCs w:val="50"/>
            <w:u w:val="none"/>
            <w:shd w:val="clear" w:color="auto" w:fill="FFFFFF"/>
          </w:rPr>
          <w:t>A sessão começa às 10h de terça-feira e pode ser acessada gratuitamente neste link</w:t>
        </w:r>
      </w:hyperlink>
      <w:r w:rsidRPr="00DF241C">
        <w:rPr>
          <w:szCs w:val="50"/>
          <w:shd w:val="clear" w:color="auto" w:fill="FFFFFF"/>
        </w:rPr>
        <w:t>.</w:t>
      </w:r>
    </w:p>
    <w:p w:rsidR="00DF241C" w:rsidRDefault="00DF241C" w:rsidP="00DF241C">
      <w:pPr>
        <w:pStyle w:val="texto-IEIJ"/>
        <w:jc w:val="both"/>
        <w:rPr>
          <w:szCs w:val="50"/>
          <w:shd w:val="clear" w:color="auto" w:fill="FFFFFF"/>
        </w:rPr>
      </w:pPr>
    </w:p>
    <w:p w:rsidR="00DF241C" w:rsidRDefault="00DF241C" w:rsidP="00DF241C">
      <w:pPr>
        <w:pStyle w:val="texto-IEIJ"/>
        <w:jc w:val="both"/>
        <w:rPr>
          <w:szCs w:val="50"/>
          <w:shd w:val="clear" w:color="auto" w:fill="FFFFFF"/>
        </w:rPr>
      </w:pPr>
      <w:r>
        <w:rPr>
          <w:szCs w:val="50"/>
          <w:shd w:val="clear" w:color="auto" w:fill="FFFFFF"/>
        </w:rPr>
        <w:t>A PRIMAVERA</w:t>
      </w:r>
    </w:p>
    <w:p w:rsidR="00DF241C" w:rsidRPr="00DF241C" w:rsidRDefault="00DF241C" w:rsidP="00DF241C">
      <w:pPr>
        <w:pStyle w:val="texto-IEIJ"/>
        <w:ind w:firstLine="709"/>
        <w:jc w:val="both"/>
      </w:pPr>
      <w:r w:rsidRPr="00DF241C">
        <w:rPr>
          <w:szCs w:val="40"/>
        </w:rPr>
        <w:t xml:space="preserve">A primavera inicia </w:t>
      </w:r>
      <w:r>
        <w:rPr>
          <w:szCs w:val="40"/>
        </w:rPr>
        <w:t xml:space="preserve">hoje, </w:t>
      </w:r>
      <w:r w:rsidRPr="00DF241C">
        <w:rPr>
          <w:szCs w:val="40"/>
        </w:rPr>
        <w:t>dia 22, às 10h31, e será uma estação atípica, segundo a meteorologista </w:t>
      </w:r>
      <w:proofErr w:type="spellStart"/>
      <w:r w:rsidRPr="00DF241C">
        <w:rPr>
          <w:rStyle w:val="Forte"/>
          <w:b w:val="0"/>
          <w:bCs w:val="0"/>
          <w:szCs w:val="40"/>
        </w:rPr>
        <w:t>Gilsânia</w:t>
      </w:r>
      <w:proofErr w:type="spellEnd"/>
      <w:r w:rsidRPr="00DF241C">
        <w:rPr>
          <w:rStyle w:val="Forte"/>
          <w:b w:val="0"/>
          <w:bCs w:val="0"/>
          <w:szCs w:val="40"/>
        </w:rPr>
        <w:t xml:space="preserve"> Cruz</w:t>
      </w:r>
      <w:r w:rsidRPr="00DF241C">
        <w:rPr>
          <w:szCs w:val="40"/>
        </w:rPr>
        <w:t xml:space="preserve">, da </w:t>
      </w:r>
      <w:proofErr w:type="spellStart"/>
      <w:r w:rsidRPr="00DF241C">
        <w:rPr>
          <w:szCs w:val="40"/>
        </w:rPr>
        <w:t>Epagri</w:t>
      </w:r>
      <w:proofErr w:type="spellEnd"/>
      <w:r w:rsidRPr="00DF241C">
        <w:rPr>
          <w:szCs w:val="40"/>
        </w:rPr>
        <w:t>/</w:t>
      </w:r>
      <w:proofErr w:type="spellStart"/>
      <w:r w:rsidRPr="00DF241C">
        <w:rPr>
          <w:szCs w:val="40"/>
        </w:rPr>
        <w:t>Ciram</w:t>
      </w:r>
      <w:proofErr w:type="spellEnd"/>
      <w:r w:rsidRPr="00DF241C">
        <w:rPr>
          <w:szCs w:val="40"/>
        </w:rPr>
        <w:t xml:space="preserve">, que prevê menos chuvas do que </w:t>
      </w:r>
      <w:proofErr w:type="gramStart"/>
      <w:r w:rsidRPr="00DF241C">
        <w:rPr>
          <w:szCs w:val="40"/>
        </w:rPr>
        <w:t>o normal para a época do ano e as temperaturas estarão</w:t>
      </w:r>
      <w:proofErr w:type="gramEnd"/>
      <w:r w:rsidRPr="00DF241C">
        <w:rPr>
          <w:szCs w:val="40"/>
        </w:rPr>
        <w:t xml:space="preserve"> mais elevadas. A estação vai até o dia 21 de dezembro, quando começa o verão. </w:t>
      </w:r>
    </w:p>
    <w:p w:rsidR="00DF241C" w:rsidRDefault="00DF241C" w:rsidP="00DF241C">
      <w:pPr>
        <w:pStyle w:val="texto-IEIJ"/>
        <w:ind w:firstLine="709"/>
        <w:jc w:val="both"/>
        <w:rPr>
          <w:szCs w:val="40"/>
        </w:rPr>
      </w:pPr>
      <w:r w:rsidRPr="00DF241C">
        <w:rPr>
          <w:szCs w:val="40"/>
        </w:rPr>
        <w:lastRenderedPageBreak/>
        <w:t xml:space="preserve">“A primavera começa oficialmente pelo calendário astronômico na próxima terça-feira, às 10h31, quando ocorre o equinócio de primavera no Hemisfério Sul, onde o dia e a noite tem a mesma duração de horas, pois os dois hemisférios da Terra encontram-se igualmente iluminados pelo sol. Depois disso, os dias começam a ser mais longos do que as noites. A partir do dia </w:t>
      </w:r>
      <w:r w:rsidR="00C637DF">
        <w:rPr>
          <w:szCs w:val="40"/>
        </w:rPr>
        <w:t>23, a temperatura volta a subir</w:t>
      </w:r>
      <w:r w:rsidRPr="00DF241C">
        <w:rPr>
          <w:szCs w:val="40"/>
        </w:rPr>
        <w:t>”, avisa a meteorologista. </w:t>
      </w:r>
    </w:p>
    <w:p w:rsidR="00634EA0" w:rsidRDefault="00634EA0" w:rsidP="00634EA0">
      <w:pPr>
        <w:pStyle w:val="texto-IEIJ"/>
        <w:jc w:val="both"/>
      </w:pPr>
      <w:r>
        <w:t xml:space="preserve">Questão </w:t>
      </w:r>
      <w:proofErr w:type="gramStart"/>
      <w:r>
        <w:t>1</w:t>
      </w:r>
      <w:proofErr w:type="gramEnd"/>
    </w:p>
    <w:p w:rsidR="00634EA0" w:rsidRDefault="00634EA0" w:rsidP="00634EA0">
      <w:pPr>
        <w:pStyle w:val="03Texto-IEIJ"/>
        <w:spacing w:before="120" w:line="240" w:lineRule="auto"/>
      </w:pPr>
      <w:r>
        <w:t xml:space="preserve">a) Este texto foi escrito com a intenção de </w:t>
      </w:r>
    </w:p>
    <w:p w:rsidR="00634EA0" w:rsidRDefault="00634EA0" w:rsidP="0017779C">
      <w:pPr>
        <w:pStyle w:val="03Texto-IEIJ"/>
      </w:pPr>
      <w:r>
        <w:rPr>
          <w:noProof/>
        </w:rPr>
        <w:drawing>
          <wp:inline distT="0" distB="0" distL="0" distR="0">
            <wp:extent cx="2317750" cy="1403350"/>
            <wp:effectExtent l="19050" t="0" r="6350" b="0"/>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317750" cy="1403350"/>
                    </a:xfrm>
                    <a:prstGeom prst="rect">
                      <a:avLst/>
                    </a:prstGeom>
                    <a:noFill/>
                    <a:ln w="9525">
                      <a:noFill/>
                      <a:miter lim="800000"/>
                      <a:headEnd/>
                      <a:tailEnd/>
                    </a:ln>
                  </pic:spPr>
                </pic:pic>
              </a:graphicData>
            </a:graphic>
          </wp:inline>
        </w:drawing>
      </w:r>
    </w:p>
    <w:p w:rsidR="00634EA0" w:rsidRDefault="00634EA0" w:rsidP="0017779C">
      <w:pPr>
        <w:pStyle w:val="03Texto-IEIJ"/>
      </w:pPr>
    </w:p>
    <w:p w:rsidR="00634EA0" w:rsidRDefault="00634EA0" w:rsidP="0017779C">
      <w:pPr>
        <w:pStyle w:val="03Texto-IEIJ"/>
      </w:pPr>
      <w:r>
        <w:t xml:space="preserve">b) </w:t>
      </w:r>
      <w:proofErr w:type="gramStart"/>
      <w:r>
        <w:t>A</w:t>
      </w:r>
      <w:proofErr w:type="gramEnd"/>
      <w:r>
        <w:t xml:space="preserve"> noite e o dia têm aproximadamente a mesma duração em</w:t>
      </w:r>
    </w:p>
    <w:p w:rsidR="00634EA0" w:rsidRDefault="00634EA0" w:rsidP="0017779C">
      <w:pPr>
        <w:pStyle w:val="03Texto-IEIJ"/>
      </w:pPr>
      <w:r>
        <w:rPr>
          <w:noProof/>
        </w:rPr>
        <w:drawing>
          <wp:inline distT="0" distB="0" distL="0" distR="0">
            <wp:extent cx="2632710" cy="1482090"/>
            <wp:effectExtent l="1905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632710" cy="1482090"/>
                    </a:xfrm>
                    <a:prstGeom prst="rect">
                      <a:avLst/>
                    </a:prstGeom>
                    <a:noFill/>
                    <a:ln w="9525">
                      <a:noFill/>
                      <a:miter lim="800000"/>
                      <a:headEnd/>
                      <a:tailEnd/>
                    </a:ln>
                  </pic:spPr>
                </pic:pic>
              </a:graphicData>
            </a:graphic>
          </wp:inline>
        </w:drawing>
      </w:r>
    </w:p>
    <w:p w:rsidR="004B1110" w:rsidRDefault="004B1110" w:rsidP="005C01EE">
      <w:pPr>
        <w:pStyle w:val="texto-IEIJ"/>
        <w:jc w:val="center"/>
        <w:rPr>
          <w:b/>
          <w:sz w:val="32"/>
          <w:szCs w:val="32"/>
        </w:rPr>
      </w:pPr>
      <w:r w:rsidRPr="004B1110">
        <w:rPr>
          <w:b/>
          <w:sz w:val="32"/>
          <w:szCs w:val="32"/>
        </w:rPr>
        <w:drawing>
          <wp:inline distT="0" distB="0" distL="0" distR="0">
            <wp:extent cx="4505653" cy="3426516"/>
            <wp:effectExtent l="19050" t="0" r="9197" b="0"/>
            <wp:docPr id="19" name="Imagem 19" descr="imagem de cobra na floresta da Amazoni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m de cobra na floresta da Amazonia">
                      <a:hlinkClick r:id="rId13" tgtFrame="&quot;_blank&quot;"/>
                    </pic:cNvPr>
                    <pic:cNvPicPr>
                      <a:picLocks noChangeAspect="1" noChangeArrowheads="1"/>
                    </pic:cNvPicPr>
                  </pic:nvPicPr>
                  <pic:blipFill>
                    <a:blip r:embed="rId14" cstate="print"/>
                    <a:srcRect/>
                    <a:stretch>
                      <a:fillRect/>
                    </a:stretch>
                  </pic:blipFill>
                  <pic:spPr bwMode="auto">
                    <a:xfrm>
                      <a:off x="0" y="0"/>
                      <a:ext cx="4513640" cy="3432590"/>
                    </a:xfrm>
                    <a:prstGeom prst="rect">
                      <a:avLst/>
                    </a:prstGeom>
                    <a:noFill/>
                    <a:ln w="9525">
                      <a:noFill/>
                      <a:miter lim="800000"/>
                      <a:headEnd/>
                      <a:tailEnd/>
                    </a:ln>
                  </pic:spPr>
                </pic:pic>
              </a:graphicData>
            </a:graphic>
          </wp:inline>
        </w:drawing>
      </w:r>
    </w:p>
    <w:p w:rsidR="004B1110" w:rsidRPr="006D3CB4" w:rsidRDefault="004B1110" w:rsidP="004B1110">
      <w:pPr>
        <w:pStyle w:val="texto-IEIJ"/>
        <w:rPr>
          <w:b/>
          <w:sz w:val="32"/>
          <w:szCs w:val="32"/>
        </w:rPr>
      </w:pPr>
      <w:r w:rsidRPr="006D3CB4">
        <w:rPr>
          <w:b/>
          <w:sz w:val="32"/>
          <w:szCs w:val="32"/>
        </w:rPr>
        <w:lastRenderedPageBreak/>
        <w:t>Florestas armazenam carbono</w:t>
      </w:r>
    </w:p>
    <w:p w:rsidR="004B1110" w:rsidRDefault="004B1110" w:rsidP="004B1110">
      <w:pPr>
        <w:pStyle w:val="texto-IEIJ"/>
        <w:ind w:firstLine="709"/>
        <w:jc w:val="both"/>
      </w:pPr>
      <w:r w:rsidRPr="006D3CB4">
        <w:t>As florestas tropicais (</w:t>
      </w:r>
      <w:hyperlink r:id="rId15" w:tgtFrame="_blank" w:history="1">
        <w:r w:rsidRPr="006D3CB4">
          <w:rPr>
            <w:rStyle w:val="Hyperlink"/>
            <w:color w:val="auto"/>
            <w:szCs w:val="40"/>
            <w:u w:val="none"/>
          </w:rPr>
          <w:t>saiba quais são as maiores florestas tropicais do mundo</w:t>
        </w:r>
      </w:hyperlink>
      <w:r w:rsidRPr="006D3CB4">
        <w:t>) armazenam algo em torno de 90 bilhões a 140 bilhões de toneladas métricas de carbono, para não falar que as florestas desmatadas são as maiores fontes de emissões de gases do efeito estufa depois da queima de combustíveis fósseis.</w:t>
      </w:r>
    </w:p>
    <w:p w:rsidR="004B1110" w:rsidRDefault="004B1110" w:rsidP="004B1110">
      <w:pPr>
        <w:pStyle w:val="texto-IEIJ"/>
        <w:jc w:val="both"/>
      </w:pPr>
    </w:p>
    <w:p w:rsidR="004B1110" w:rsidRPr="006D3CB4" w:rsidRDefault="004B1110" w:rsidP="004B1110">
      <w:pPr>
        <w:pStyle w:val="texto-IEIJ"/>
        <w:rPr>
          <w:b/>
          <w:sz w:val="32"/>
          <w:szCs w:val="32"/>
        </w:rPr>
      </w:pPr>
      <w:r w:rsidRPr="006D3CB4">
        <w:rPr>
          <w:b/>
          <w:sz w:val="32"/>
          <w:szCs w:val="32"/>
        </w:rPr>
        <w:t>Desmatamento libera carbono</w:t>
      </w:r>
    </w:p>
    <w:p w:rsidR="004B1110" w:rsidRDefault="004B1110" w:rsidP="004B1110">
      <w:pPr>
        <w:pStyle w:val="texto-IEIJ"/>
        <w:ind w:firstLine="709"/>
        <w:jc w:val="both"/>
        <w:rPr>
          <w:szCs w:val="40"/>
        </w:rPr>
      </w:pPr>
      <w:r w:rsidRPr="006D3CB4">
        <w:rPr>
          <w:szCs w:val="40"/>
        </w:rPr>
        <w:t>De acordo com o livro </w:t>
      </w:r>
      <w:r w:rsidRPr="006D3CB4">
        <w:rPr>
          <w:rStyle w:val="nfase"/>
          <w:i w:val="0"/>
          <w:iCs w:val="0"/>
          <w:szCs w:val="40"/>
        </w:rPr>
        <w:t>A Sustentabilidade Como Paradigma</w:t>
      </w:r>
      <w:r w:rsidRPr="006D3CB4">
        <w:rPr>
          <w:szCs w:val="40"/>
        </w:rPr>
        <w:t xml:space="preserve">, de Marcílio de Freitas e </w:t>
      </w:r>
      <w:proofErr w:type="spellStart"/>
      <w:r w:rsidRPr="006D3CB4">
        <w:rPr>
          <w:szCs w:val="40"/>
        </w:rPr>
        <w:t>Marilene</w:t>
      </w:r>
      <w:proofErr w:type="spellEnd"/>
      <w:r w:rsidRPr="006D3CB4">
        <w:rPr>
          <w:szCs w:val="40"/>
        </w:rPr>
        <w:t xml:space="preserve"> Corrêa da Silva Freitas, ‘o desmatamento e o uso da terra na Amazônia emitem anualmente 229 milhões de toneladas de carbono representando 78% da emissão total do Brasil, e a queima de combustível fóssil emitindo 64 milhões de toneladas de carbono, outros 22% do total.</w:t>
      </w:r>
      <w:proofErr w:type="gramStart"/>
      <w:r w:rsidRPr="006D3CB4">
        <w:rPr>
          <w:szCs w:val="40"/>
        </w:rPr>
        <w:t>”</w:t>
      </w:r>
      <w:proofErr w:type="gramEnd"/>
    </w:p>
    <w:p w:rsidR="00634EA0" w:rsidRDefault="00634EA0" w:rsidP="00634EA0">
      <w:pPr>
        <w:pStyle w:val="texto-IEIJ"/>
        <w:jc w:val="both"/>
        <w:rPr>
          <w:szCs w:val="40"/>
        </w:rPr>
      </w:pPr>
    </w:p>
    <w:p w:rsidR="00634EA0" w:rsidRDefault="00634EA0" w:rsidP="00634EA0">
      <w:pPr>
        <w:pStyle w:val="texto-IEIJ"/>
        <w:jc w:val="both"/>
        <w:rPr>
          <w:szCs w:val="40"/>
        </w:rPr>
      </w:pPr>
      <w:r>
        <w:rPr>
          <w:szCs w:val="40"/>
        </w:rPr>
        <w:t xml:space="preserve">Questão </w:t>
      </w:r>
      <w:proofErr w:type="gramStart"/>
      <w:r>
        <w:rPr>
          <w:szCs w:val="40"/>
        </w:rPr>
        <w:t>2</w:t>
      </w:r>
      <w:proofErr w:type="gramEnd"/>
    </w:p>
    <w:p w:rsidR="00634EA0" w:rsidRDefault="00634EA0" w:rsidP="00634EA0">
      <w:pPr>
        <w:pStyle w:val="texto-IEIJ"/>
        <w:jc w:val="both"/>
      </w:pPr>
      <w:r>
        <w:t xml:space="preserve">Cite dois exemplos de fatos que comprovam </w:t>
      </w:r>
      <w:proofErr w:type="gramStart"/>
      <w:r>
        <w:t>o importância</w:t>
      </w:r>
      <w:proofErr w:type="gramEnd"/>
      <w:r>
        <w:t xml:space="preserve"> da Amazônia na sustentabilidade planetária. </w:t>
      </w:r>
    </w:p>
    <w:p w:rsidR="00634EA0" w:rsidRDefault="00634EA0" w:rsidP="00634EA0">
      <w:pPr>
        <w:pStyle w:val="texto-IEIJ"/>
        <w:numPr>
          <w:ilvl w:val="0"/>
          <w:numId w:val="37"/>
        </w:numPr>
        <w:jc w:val="both"/>
      </w:pPr>
      <w:r>
        <w:t>____________________________________________________________</w:t>
      </w:r>
    </w:p>
    <w:p w:rsidR="00634EA0" w:rsidRDefault="00634EA0" w:rsidP="00634EA0">
      <w:pPr>
        <w:pStyle w:val="texto-IEIJ"/>
        <w:numPr>
          <w:ilvl w:val="0"/>
          <w:numId w:val="37"/>
        </w:numPr>
        <w:jc w:val="both"/>
      </w:pPr>
      <w:r>
        <w:t>____________________________________________________________</w:t>
      </w:r>
    </w:p>
    <w:p w:rsidR="00634EA0" w:rsidRDefault="00634EA0" w:rsidP="00634EA0">
      <w:pPr>
        <w:pStyle w:val="texto-IEIJ"/>
        <w:jc w:val="both"/>
      </w:pPr>
    </w:p>
    <w:p w:rsidR="00634EA0" w:rsidRPr="00634EA0" w:rsidRDefault="00634EA0" w:rsidP="00634EA0">
      <w:pPr>
        <w:pStyle w:val="texto-IEIJ"/>
        <w:jc w:val="center"/>
        <w:rPr>
          <w:sz w:val="32"/>
          <w:szCs w:val="32"/>
        </w:rPr>
      </w:pPr>
      <w:r w:rsidRPr="00634EA0">
        <w:rPr>
          <w:sz w:val="32"/>
          <w:szCs w:val="32"/>
        </w:rPr>
        <w:t>Amazônia e as curiosidades da pré-história</w:t>
      </w:r>
    </w:p>
    <w:p w:rsidR="00634EA0" w:rsidRPr="00634EA0" w:rsidRDefault="00634EA0" w:rsidP="00634EA0">
      <w:pPr>
        <w:pStyle w:val="texto-IEIJ"/>
        <w:tabs>
          <w:tab w:val="left" w:pos="3997"/>
        </w:tabs>
        <w:rPr>
          <w:b/>
          <w:szCs w:val="47"/>
        </w:rPr>
      </w:pPr>
      <w:r w:rsidRPr="00634EA0">
        <w:rPr>
          <w:b/>
          <w:szCs w:val="47"/>
        </w:rPr>
        <w:t>Fósseis de tartarugas gigantes</w:t>
      </w:r>
      <w:r w:rsidRPr="00634EA0">
        <w:rPr>
          <w:b/>
          <w:szCs w:val="47"/>
        </w:rPr>
        <w:tab/>
      </w:r>
    </w:p>
    <w:p w:rsidR="00634EA0" w:rsidRPr="00634EA0" w:rsidRDefault="00634EA0" w:rsidP="00634EA0">
      <w:pPr>
        <w:pStyle w:val="texto-IEIJ"/>
        <w:ind w:firstLine="709"/>
        <w:jc w:val="both"/>
      </w:pPr>
      <w:r w:rsidRPr="00634EA0">
        <w:t>Cientistas anunciaram recentemente a descoberta de fósseis de </w:t>
      </w:r>
      <w:hyperlink r:id="rId16" w:tgtFrame="_blank" w:history="1">
        <w:r w:rsidRPr="00634EA0">
          <w:rPr>
            <w:rStyle w:val="Forte"/>
            <w:b w:val="0"/>
            <w:bCs w:val="0"/>
            <w:szCs w:val="40"/>
          </w:rPr>
          <w:t>tartarugas gigantes pré-históricas</w:t>
        </w:r>
      </w:hyperlink>
      <w:r w:rsidRPr="00634EA0">
        <w:t xml:space="preserve">, que teriam vivido durante a época geológica do </w:t>
      </w:r>
      <w:proofErr w:type="spellStart"/>
      <w:r w:rsidRPr="00634EA0">
        <w:t>Mioceno</w:t>
      </w:r>
      <w:proofErr w:type="spellEnd"/>
      <w:r w:rsidRPr="00634EA0">
        <w:t>. O tamanho e peso são comparados ao de um carro sedan.</w:t>
      </w:r>
    </w:p>
    <w:p w:rsidR="00634EA0" w:rsidRDefault="00634EA0" w:rsidP="00634EA0">
      <w:pPr>
        <w:pStyle w:val="texto-IEIJ"/>
        <w:ind w:firstLine="709"/>
        <w:jc w:val="both"/>
      </w:pPr>
      <w:r w:rsidRPr="00634EA0">
        <w:t>Elas podem ter atingido até quatro metros de comprimento, com peso bastante superior a uma tonelada. Denominada </w:t>
      </w:r>
      <w:proofErr w:type="spellStart"/>
      <w:r w:rsidRPr="005C01EE">
        <w:rPr>
          <w:rStyle w:val="nfase"/>
          <w:iCs w:val="0"/>
          <w:szCs w:val="40"/>
        </w:rPr>
        <w:t>Stupendemys</w:t>
      </w:r>
      <w:proofErr w:type="spellEnd"/>
      <w:r w:rsidRPr="00634EA0">
        <w:rPr>
          <w:rStyle w:val="nfase"/>
          <w:i w:val="0"/>
          <w:iCs w:val="0"/>
          <w:szCs w:val="40"/>
        </w:rPr>
        <w:t xml:space="preserve"> </w:t>
      </w:r>
      <w:proofErr w:type="spellStart"/>
      <w:r w:rsidRPr="005C01EE">
        <w:rPr>
          <w:rStyle w:val="nfase"/>
          <w:iCs w:val="0"/>
          <w:szCs w:val="40"/>
        </w:rPr>
        <w:t>geographicus</w:t>
      </w:r>
      <w:proofErr w:type="spellEnd"/>
      <w:r w:rsidRPr="00634EA0">
        <w:t xml:space="preserve">, a espécie foi comum na Amazônia entre 13 milhões e </w:t>
      </w:r>
      <w:proofErr w:type="gramStart"/>
      <w:r w:rsidRPr="00634EA0">
        <w:t>7</w:t>
      </w:r>
      <w:proofErr w:type="gramEnd"/>
      <w:r w:rsidRPr="00634EA0">
        <w:t xml:space="preserve"> milhões de anos atrás.</w:t>
      </w:r>
    </w:p>
    <w:p w:rsidR="005C01EE" w:rsidRPr="005C01EE" w:rsidRDefault="005C01EE" w:rsidP="005C01EE">
      <w:pPr>
        <w:pStyle w:val="texto-IEIJ"/>
        <w:rPr>
          <w:b/>
        </w:rPr>
      </w:pPr>
      <w:proofErr w:type="spellStart"/>
      <w:r w:rsidRPr="005C01EE">
        <w:rPr>
          <w:b/>
        </w:rPr>
        <w:t>Geoglifos</w:t>
      </w:r>
      <w:proofErr w:type="spellEnd"/>
    </w:p>
    <w:p w:rsidR="005C01EE" w:rsidRDefault="005C01EE" w:rsidP="005C01EE">
      <w:pPr>
        <w:pStyle w:val="texto-IEIJ"/>
        <w:ind w:firstLine="709"/>
        <w:jc w:val="both"/>
      </w:pPr>
      <w:r>
        <w:t>Pesquisadores acreditam que as valas – com dez metros de largura e um de profundidade – foram moldadas por povos indígenas munidos de instrumentos de madeira. Elas formam várias figuras quadrangulares e circulares. Incluindo um círculo com 100 metros de diâmetro e um retângulo de 100 por 150 metros.</w:t>
      </w:r>
    </w:p>
    <w:p w:rsidR="005C01EE" w:rsidRPr="005C01EE" w:rsidRDefault="005C01EE" w:rsidP="005C01EE">
      <w:pPr>
        <w:pStyle w:val="texto-IEIJ"/>
        <w:ind w:firstLine="709"/>
        <w:jc w:val="both"/>
      </w:pPr>
      <w:r w:rsidRPr="005C01EE">
        <w:t>Acredita-se que </w:t>
      </w:r>
      <w:hyperlink r:id="rId17" w:tgtFrame="_blank" w:history="1">
        <w:r w:rsidRPr="005C01EE">
          <w:rPr>
            <w:rStyle w:val="Forte"/>
            <w:b w:val="0"/>
            <w:bCs w:val="0"/>
            <w:szCs w:val="40"/>
          </w:rPr>
          <w:t xml:space="preserve">os </w:t>
        </w:r>
        <w:proofErr w:type="spellStart"/>
        <w:r w:rsidRPr="005C01EE">
          <w:rPr>
            <w:rStyle w:val="Forte"/>
            <w:b w:val="0"/>
            <w:bCs w:val="0"/>
            <w:szCs w:val="40"/>
          </w:rPr>
          <w:t>geoglifos</w:t>
        </w:r>
        <w:proofErr w:type="spellEnd"/>
        <w:r w:rsidRPr="005C01EE">
          <w:rPr>
            <w:rStyle w:val="Hyperlink"/>
            <w:color w:val="auto"/>
            <w:szCs w:val="40"/>
            <w:u w:val="none"/>
          </w:rPr>
          <w:t> </w:t>
        </w:r>
      </w:hyperlink>
      <w:r w:rsidRPr="005C01EE">
        <w:t>foram construídos como espaços de sociabilidade a partir do início da Era Cristã até o século 16 ou 17.  São possíveis locais de encontros e rituais erguidos quando a região ainda era uma savana, antes do surgimento da floresta que conhecemos.</w:t>
      </w:r>
    </w:p>
    <w:p w:rsidR="005C01EE" w:rsidRPr="005C01EE" w:rsidRDefault="005C01EE" w:rsidP="005C01EE">
      <w:pPr>
        <w:pStyle w:val="texto-IEIJ"/>
        <w:rPr>
          <w:b/>
        </w:rPr>
      </w:pPr>
      <w:r w:rsidRPr="005C01EE">
        <w:rPr>
          <w:b/>
        </w:rPr>
        <w:lastRenderedPageBreak/>
        <w:t>Ilhas artificiais do período pré-colonial</w:t>
      </w:r>
    </w:p>
    <w:p w:rsidR="005C01EE" w:rsidRPr="005C01EE" w:rsidRDefault="005C01EE" w:rsidP="005C01EE">
      <w:pPr>
        <w:pStyle w:val="texto-IEIJ"/>
        <w:ind w:firstLine="709"/>
        <w:jc w:val="both"/>
      </w:pPr>
      <w:r w:rsidRPr="005C01EE">
        <w:t>Fevereiro, 2020: Pesquisadores estão desvendando construções comparáveis às pirâmides no Egito. São </w:t>
      </w:r>
      <w:hyperlink r:id="rId18" w:tgtFrame="_blank" w:history="1">
        <w:r w:rsidRPr="005C01EE">
          <w:rPr>
            <w:rStyle w:val="nfase"/>
            <w:i w:val="0"/>
            <w:iCs w:val="0"/>
            <w:szCs w:val="40"/>
          </w:rPr>
          <w:t>as ilhas artificiais da Amazôni</w:t>
        </w:r>
        <w:r w:rsidRPr="005C01EE">
          <w:rPr>
            <w:rStyle w:val="Hyperlink"/>
            <w:color w:val="auto"/>
            <w:szCs w:val="40"/>
            <w:u w:val="none"/>
          </w:rPr>
          <w:t>a</w:t>
        </w:r>
      </w:hyperlink>
      <w:r w:rsidRPr="005C01EE">
        <w:t>: construções que exigiram saberes complexos de várias áreas do conhecimento. Mas, foram erguidas nos períodos pré-colonial e colonial, no mínimo. Possivelmente, até muito antes disso.</w:t>
      </w:r>
    </w:p>
    <w:p w:rsidR="005C01EE" w:rsidRPr="005C01EE" w:rsidRDefault="005C01EE" w:rsidP="005C01EE">
      <w:pPr>
        <w:pStyle w:val="texto-IEIJ"/>
        <w:ind w:firstLine="709"/>
        <w:jc w:val="both"/>
      </w:pPr>
      <w:r w:rsidRPr="005C01EE">
        <w:t xml:space="preserve">Para não falar na cultura do Marajó (400 a 1400 </w:t>
      </w:r>
      <w:proofErr w:type="spellStart"/>
      <w:proofErr w:type="gramStart"/>
      <w:r w:rsidRPr="005C01EE">
        <w:t>d.C</w:t>
      </w:r>
      <w:proofErr w:type="spellEnd"/>
      <w:proofErr w:type="gramEnd"/>
      <w:r w:rsidRPr="005C01EE">
        <w:t>) ‘que alcançou o maior nível de complexidade social na pré-história brasileira’, sociedade que floresceu na Ilha de Marajó, foz do Amazonas, na Era pré-colombiana.</w:t>
      </w:r>
    </w:p>
    <w:p w:rsidR="00634EA0" w:rsidRDefault="00634EA0" w:rsidP="00634EA0">
      <w:pPr>
        <w:pStyle w:val="texto-IEIJ"/>
        <w:jc w:val="both"/>
      </w:pPr>
    </w:p>
    <w:p w:rsidR="005C01EE" w:rsidRDefault="005C01EE" w:rsidP="00634EA0">
      <w:pPr>
        <w:pStyle w:val="texto-IEIJ"/>
        <w:jc w:val="both"/>
      </w:pPr>
      <w:r>
        <w:t xml:space="preserve">Questão </w:t>
      </w:r>
      <w:proofErr w:type="gramStart"/>
      <w:r>
        <w:t>3</w:t>
      </w:r>
      <w:proofErr w:type="gramEnd"/>
    </w:p>
    <w:p w:rsidR="00634EA0" w:rsidRDefault="005C01EE" w:rsidP="005C01EE">
      <w:pPr>
        <w:pStyle w:val="texto-IEIJ"/>
        <w:ind w:firstLine="709"/>
        <w:jc w:val="both"/>
      </w:pPr>
      <w:r>
        <w:t xml:space="preserve">Assinale todos os aspectos sobre a pré-história da Amazônia que podem ser observados, de acordo com a informação dos parágrafos acima. </w:t>
      </w:r>
    </w:p>
    <w:tbl>
      <w:tblPr>
        <w:tblStyle w:val="Tabelacomgrade"/>
        <w:tblW w:w="0" w:type="auto"/>
        <w:tblLook w:val="04A0"/>
      </w:tblPr>
      <w:tblGrid>
        <w:gridCol w:w="817"/>
        <w:gridCol w:w="8962"/>
      </w:tblGrid>
      <w:tr w:rsidR="005C01EE" w:rsidTr="005C01EE">
        <w:tc>
          <w:tcPr>
            <w:tcW w:w="817" w:type="dxa"/>
            <w:tcBorders>
              <w:right w:val="single" w:sz="4" w:space="0" w:color="auto"/>
            </w:tcBorders>
          </w:tcPr>
          <w:p w:rsidR="005C01EE" w:rsidRDefault="005C01EE" w:rsidP="005C01EE">
            <w:pPr>
              <w:pStyle w:val="texto-IEIJ"/>
              <w:jc w:val="center"/>
            </w:pPr>
            <w:r>
              <w:t>A</w:t>
            </w:r>
          </w:p>
        </w:tc>
        <w:tc>
          <w:tcPr>
            <w:tcW w:w="8962" w:type="dxa"/>
            <w:tcBorders>
              <w:top w:val="nil"/>
              <w:left w:val="single" w:sz="4" w:space="0" w:color="auto"/>
              <w:bottom w:val="nil"/>
              <w:right w:val="nil"/>
            </w:tcBorders>
          </w:tcPr>
          <w:p w:rsidR="005C01EE" w:rsidRDefault="005C01EE" w:rsidP="005C01EE">
            <w:pPr>
              <w:pStyle w:val="texto-IEIJ"/>
              <w:jc w:val="both"/>
            </w:pPr>
            <w:r>
              <w:t>A espécie de</w:t>
            </w:r>
            <w:proofErr w:type="gramStart"/>
            <w:r>
              <w:t xml:space="preserve">  </w:t>
            </w:r>
            <w:proofErr w:type="gramEnd"/>
            <w:r>
              <w:t>tartaruga gigante descoberta pesava mais de mil kg e tinha o tamanho de sua sala de aula, aproximadamente.</w:t>
            </w:r>
          </w:p>
        </w:tc>
      </w:tr>
      <w:tr w:rsidR="005C01EE" w:rsidTr="005C01EE">
        <w:tc>
          <w:tcPr>
            <w:tcW w:w="817" w:type="dxa"/>
            <w:tcBorders>
              <w:right w:val="single" w:sz="4" w:space="0" w:color="auto"/>
            </w:tcBorders>
          </w:tcPr>
          <w:p w:rsidR="005C01EE" w:rsidRDefault="005C01EE" w:rsidP="005C01EE">
            <w:pPr>
              <w:pStyle w:val="texto-IEIJ"/>
              <w:jc w:val="center"/>
            </w:pPr>
            <w:r>
              <w:t>B</w:t>
            </w:r>
          </w:p>
        </w:tc>
        <w:tc>
          <w:tcPr>
            <w:tcW w:w="8962" w:type="dxa"/>
            <w:tcBorders>
              <w:top w:val="nil"/>
              <w:left w:val="single" w:sz="4" w:space="0" w:color="auto"/>
              <w:bottom w:val="nil"/>
              <w:right w:val="nil"/>
            </w:tcBorders>
          </w:tcPr>
          <w:p w:rsidR="005C01EE" w:rsidRDefault="005C01EE" w:rsidP="005C01EE">
            <w:pPr>
              <w:pStyle w:val="texto-IEIJ"/>
              <w:jc w:val="both"/>
            </w:pPr>
            <w:r>
              <w:t xml:space="preserve">Há hipóteses de que os </w:t>
            </w:r>
            <w:proofErr w:type="spellStart"/>
            <w:r>
              <w:t>geoglifos</w:t>
            </w:r>
            <w:proofErr w:type="spellEnd"/>
            <w:r>
              <w:t xml:space="preserve"> foram construídos para reuniões e rituais. </w:t>
            </w:r>
          </w:p>
        </w:tc>
      </w:tr>
      <w:tr w:rsidR="005C01EE" w:rsidTr="005C01EE">
        <w:tc>
          <w:tcPr>
            <w:tcW w:w="817" w:type="dxa"/>
          </w:tcPr>
          <w:p w:rsidR="005C01EE" w:rsidRPr="005C01EE" w:rsidRDefault="005C01EE" w:rsidP="005C01EE">
            <w:pPr>
              <w:pStyle w:val="texto-IEIJ"/>
            </w:pPr>
            <w:r w:rsidRPr="005C01EE">
              <w:t>C</w:t>
            </w:r>
          </w:p>
        </w:tc>
        <w:tc>
          <w:tcPr>
            <w:tcW w:w="8962" w:type="dxa"/>
            <w:tcBorders>
              <w:top w:val="nil"/>
              <w:bottom w:val="nil"/>
            </w:tcBorders>
          </w:tcPr>
          <w:p w:rsidR="005C01EE" w:rsidRPr="005C01EE" w:rsidRDefault="005C01EE" w:rsidP="005C01EE">
            <w:pPr>
              <w:pStyle w:val="texto-IEIJ"/>
              <w:jc w:val="both"/>
            </w:pPr>
            <w:r w:rsidRPr="005C01EE">
              <w:rPr>
                <w:szCs w:val="42"/>
                <w:shd w:val="clear" w:color="auto" w:fill="FFFFFF"/>
              </w:rPr>
              <w:t> </w:t>
            </w:r>
            <w:r>
              <w:rPr>
                <w:szCs w:val="42"/>
                <w:shd w:val="clear" w:color="auto" w:fill="FFFFFF"/>
              </w:rPr>
              <w:t>A pré-história da Amazônia é caracterizada</w:t>
            </w:r>
            <w:r w:rsidRPr="005C01EE">
              <w:rPr>
                <w:szCs w:val="42"/>
                <w:shd w:val="clear" w:color="auto" w:fill="FFFFFF"/>
              </w:rPr>
              <w:t>, principalmente, pela presença do </w:t>
            </w:r>
            <w:hyperlink r:id="rId19" w:history="1">
              <w:r w:rsidRPr="005C01EE">
                <w:rPr>
                  <w:rStyle w:val="Hyperlink"/>
                  <w:color w:val="auto"/>
                  <w:szCs w:val="42"/>
                  <w:u w:val="none"/>
                  <w:bdr w:val="none" w:sz="0" w:space="0" w:color="auto" w:frame="1"/>
                  <w:shd w:val="clear" w:color="auto" w:fill="FFFFFF"/>
                </w:rPr>
                <w:t>homem de Neandertal</w:t>
              </w:r>
            </w:hyperlink>
            <w:r w:rsidRPr="005C01EE">
              <w:rPr>
                <w:szCs w:val="42"/>
                <w:shd w:val="clear" w:color="auto" w:fill="FFFFFF"/>
              </w:rPr>
              <w:t>. </w:t>
            </w:r>
          </w:p>
        </w:tc>
      </w:tr>
      <w:tr w:rsidR="005C01EE" w:rsidTr="005C01EE">
        <w:tc>
          <w:tcPr>
            <w:tcW w:w="817" w:type="dxa"/>
            <w:tcBorders>
              <w:right w:val="single" w:sz="4" w:space="0" w:color="auto"/>
            </w:tcBorders>
          </w:tcPr>
          <w:p w:rsidR="005C01EE" w:rsidRDefault="005C01EE" w:rsidP="005C01EE">
            <w:pPr>
              <w:pStyle w:val="texto-IEIJ"/>
              <w:jc w:val="both"/>
            </w:pPr>
            <w:r>
              <w:t>D</w:t>
            </w:r>
          </w:p>
        </w:tc>
        <w:tc>
          <w:tcPr>
            <w:tcW w:w="8962" w:type="dxa"/>
            <w:tcBorders>
              <w:top w:val="nil"/>
              <w:left w:val="single" w:sz="4" w:space="0" w:color="auto"/>
              <w:bottom w:val="nil"/>
              <w:right w:val="nil"/>
            </w:tcBorders>
          </w:tcPr>
          <w:p w:rsidR="005C01EE" w:rsidRDefault="005C01EE" w:rsidP="005C01EE">
            <w:pPr>
              <w:pStyle w:val="texto-IEIJ"/>
              <w:jc w:val="both"/>
            </w:pPr>
            <w:r>
              <w:t xml:space="preserve">Acredita-se que as pirâmides do Egito foram construídas também na Amazônia. </w:t>
            </w:r>
          </w:p>
        </w:tc>
      </w:tr>
      <w:tr w:rsidR="005C01EE" w:rsidTr="005C01EE">
        <w:tc>
          <w:tcPr>
            <w:tcW w:w="817" w:type="dxa"/>
            <w:tcBorders>
              <w:right w:val="single" w:sz="4" w:space="0" w:color="auto"/>
            </w:tcBorders>
          </w:tcPr>
          <w:p w:rsidR="005C01EE" w:rsidRDefault="005C01EE" w:rsidP="005C01EE">
            <w:pPr>
              <w:pStyle w:val="texto-IEIJ"/>
              <w:jc w:val="both"/>
            </w:pPr>
            <w:r>
              <w:t>E</w:t>
            </w:r>
          </w:p>
        </w:tc>
        <w:tc>
          <w:tcPr>
            <w:tcW w:w="8962" w:type="dxa"/>
            <w:tcBorders>
              <w:top w:val="nil"/>
              <w:left w:val="single" w:sz="4" w:space="0" w:color="auto"/>
              <w:bottom w:val="nil"/>
              <w:right w:val="nil"/>
            </w:tcBorders>
          </w:tcPr>
          <w:p w:rsidR="005C01EE" w:rsidRDefault="005C01EE" w:rsidP="005C01EE">
            <w:pPr>
              <w:pStyle w:val="texto-IEIJ"/>
              <w:jc w:val="both"/>
            </w:pPr>
            <w:r>
              <w:t xml:space="preserve">A cultura marajoara tinha uma sociedade complexa e habitou a foz do rio Amazonas. </w:t>
            </w:r>
          </w:p>
        </w:tc>
      </w:tr>
    </w:tbl>
    <w:p w:rsidR="005C01EE" w:rsidRDefault="005C01EE" w:rsidP="005C01EE">
      <w:pPr>
        <w:pStyle w:val="texto-IEIJ"/>
        <w:jc w:val="both"/>
      </w:pPr>
    </w:p>
    <w:p w:rsidR="005C01EE" w:rsidRDefault="005C01EE" w:rsidP="005C01EE">
      <w:pPr>
        <w:pStyle w:val="texto-IEIJ"/>
        <w:jc w:val="both"/>
      </w:pPr>
      <w:r>
        <w:t xml:space="preserve">Questão </w:t>
      </w:r>
      <w:proofErr w:type="gramStart"/>
      <w:r>
        <w:t>4</w:t>
      </w:r>
      <w:proofErr w:type="gramEnd"/>
    </w:p>
    <w:p w:rsidR="00634EA0" w:rsidRDefault="005C01EE" w:rsidP="005C01EE">
      <w:pPr>
        <w:pStyle w:val="texto-IEIJ"/>
        <w:ind w:firstLine="709"/>
        <w:jc w:val="both"/>
      </w:pPr>
      <w:r>
        <w:t xml:space="preserve">Assinale com X as imagens que podem ser usadas para ilustrar a Amazônia e as curiosidades da pré-história. </w:t>
      </w:r>
    </w:p>
    <w:p w:rsidR="000D6174" w:rsidRDefault="000D6174" w:rsidP="000D6174">
      <w:pPr>
        <w:pStyle w:val="texto-IEIJ"/>
        <w:numPr>
          <w:ilvl w:val="0"/>
          <w:numId w:val="38"/>
        </w:numPr>
        <w:jc w:val="both"/>
      </w:pPr>
      <w:r>
        <w:t xml:space="preserve">   </w:t>
      </w:r>
      <w:r>
        <w:tab/>
      </w:r>
      <w:r>
        <w:tab/>
      </w:r>
      <w:r>
        <w:tab/>
      </w:r>
      <w:r>
        <w:tab/>
      </w:r>
      <w:r>
        <w:tab/>
      </w:r>
      <w:r>
        <w:tab/>
      </w:r>
      <w:r>
        <w:tab/>
        <w:t>(B)</w:t>
      </w:r>
    </w:p>
    <w:p w:rsidR="00634EA0" w:rsidRDefault="000D6174" w:rsidP="00634EA0">
      <w:pPr>
        <w:pStyle w:val="texto-IEIJ"/>
        <w:jc w:val="both"/>
      </w:pPr>
      <w:r>
        <w:rPr>
          <w:noProof/>
          <w:lang w:eastAsia="pt-BR" w:bidi="ar-SA"/>
        </w:rPr>
        <w:drawing>
          <wp:anchor distT="0" distB="0" distL="114300" distR="114300" simplePos="0" relativeHeight="251658240" behindDoc="0" locked="0" layoutInCell="1" allowOverlap="1">
            <wp:simplePos x="0" y="0"/>
            <wp:positionH relativeFrom="column">
              <wp:posOffset>3259455</wp:posOffset>
            </wp:positionH>
            <wp:positionV relativeFrom="paragraph">
              <wp:posOffset>85090</wp:posOffset>
            </wp:positionV>
            <wp:extent cx="2999105" cy="1938655"/>
            <wp:effectExtent l="19050" t="0" r="0" b="0"/>
            <wp:wrapThrough wrapText="bothSides">
              <wp:wrapPolygon edited="0">
                <wp:start x="-137" y="0"/>
                <wp:lineTo x="-137" y="21437"/>
                <wp:lineTo x="21541" y="21437"/>
                <wp:lineTo x="21541" y="0"/>
                <wp:lineTo x="-137" y="0"/>
              </wp:wrapPolygon>
            </wp:wrapThrough>
            <wp:docPr id="12" name="Imagem 25" descr="potes marajoara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tes marajoaras">
                      <a:hlinkClick r:id="rId20" tgtFrame="&quot;_blank&quot;"/>
                    </pic:cNvPr>
                    <pic:cNvPicPr>
                      <a:picLocks noChangeAspect="1" noChangeArrowheads="1"/>
                    </pic:cNvPicPr>
                  </pic:nvPicPr>
                  <pic:blipFill>
                    <a:blip r:embed="rId21" cstate="print"/>
                    <a:srcRect/>
                    <a:stretch>
                      <a:fillRect/>
                    </a:stretch>
                  </pic:blipFill>
                  <pic:spPr bwMode="auto">
                    <a:xfrm>
                      <a:off x="0" y="0"/>
                      <a:ext cx="2999105" cy="1938655"/>
                    </a:xfrm>
                    <a:prstGeom prst="rect">
                      <a:avLst/>
                    </a:prstGeom>
                    <a:noFill/>
                    <a:ln w="9525">
                      <a:noFill/>
                      <a:miter lim="800000"/>
                      <a:headEnd/>
                      <a:tailEnd/>
                    </a:ln>
                  </pic:spPr>
                </pic:pic>
              </a:graphicData>
            </a:graphic>
          </wp:anchor>
        </w:drawing>
      </w:r>
      <w:r w:rsidRPr="000D6174">
        <w:drawing>
          <wp:inline distT="0" distB="0" distL="0" distR="0">
            <wp:extent cx="2910605" cy="1939159"/>
            <wp:effectExtent l="19050" t="0" r="4045" b="0"/>
            <wp:docPr id="11" name="Imagem 24" descr="imagem de geoglifos na Amazôni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m de geoglifos na Amazônia">
                      <a:hlinkClick r:id="rId22" tgtFrame="&quot;_blank&quot;"/>
                    </pic:cNvPr>
                    <pic:cNvPicPr>
                      <a:picLocks noChangeAspect="1" noChangeArrowheads="1"/>
                    </pic:cNvPicPr>
                  </pic:nvPicPr>
                  <pic:blipFill>
                    <a:blip r:embed="rId23" cstate="print"/>
                    <a:srcRect/>
                    <a:stretch>
                      <a:fillRect/>
                    </a:stretch>
                  </pic:blipFill>
                  <pic:spPr bwMode="auto">
                    <a:xfrm>
                      <a:off x="0" y="0"/>
                      <a:ext cx="2935031" cy="1955433"/>
                    </a:xfrm>
                    <a:prstGeom prst="rect">
                      <a:avLst/>
                    </a:prstGeom>
                    <a:noFill/>
                    <a:ln w="9525">
                      <a:noFill/>
                      <a:miter lim="800000"/>
                      <a:headEnd/>
                      <a:tailEnd/>
                    </a:ln>
                  </pic:spPr>
                </pic:pic>
              </a:graphicData>
            </a:graphic>
          </wp:inline>
        </w:drawing>
      </w:r>
      <w:r>
        <w:tab/>
      </w:r>
      <w:r>
        <w:tab/>
      </w:r>
      <w:r>
        <w:tab/>
      </w:r>
    </w:p>
    <w:p w:rsidR="000D6174" w:rsidRDefault="000D6174" w:rsidP="00634EA0">
      <w:pPr>
        <w:pStyle w:val="texto-IEIJ"/>
        <w:jc w:val="both"/>
      </w:pPr>
      <w:r>
        <w:lastRenderedPageBreak/>
        <w:tab/>
        <w:t>(C</w:t>
      </w:r>
      <w:proofErr w:type="gramStart"/>
      <w:r>
        <w:t>)</w:t>
      </w:r>
      <w:proofErr w:type="gramEnd"/>
      <w:r>
        <w:tab/>
      </w:r>
      <w:r>
        <w:tab/>
      </w:r>
      <w:r>
        <w:tab/>
      </w:r>
      <w:r>
        <w:tab/>
      </w:r>
      <w:r>
        <w:tab/>
      </w:r>
      <w:r>
        <w:tab/>
      </w:r>
      <w:r>
        <w:tab/>
        <w:t>(D)</w:t>
      </w:r>
    </w:p>
    <w:p w:rsidR="000D6174" w:rsidRDefault="000D6174" w:rsidP="00634EA0">
      <w:pPr>
        <w:pStyle w:val="texto-IEIJ"/>
        <w:jc w:val="both"/>
      </w:pPr>
    </w:p>
    <w:p w:rsidR="00634EA0" w:rsidRDefault="000D6174" w:rsidP="00634EA0">
      <w:pPr>
        <w:pStyle w:val="texto-IEIJ"/>
        <w:jc w:val="both"/>
      </w:pPr>
      <w:r>
        <w:rPr>
          <w:noProof/>
          <w:lang w:eastAsia="pt-BR" w:bidi="ar-SA"/>
        </w:rPr>
        <w:drawing>
          <wp:anchor distT="0" distB="0" distL="114300" distR="114300" simplePos="0" relativeHeight="251659264" behindDoc="0" locked="0" layoutInCell="1" allowOverlap="1">
            <wp:simplePos x="0" y="0"/>
            <wp:positionH relativeFrom="column">
              <wp:posOffset>3255645</wp:posOffset>
            </wp:positionH>
            <wp:positionV relativeFrom="paragraph">
              <wp:posOffset>377190</wp:posOffset>
            </wp:positionV>
            <wp:extent cx="2181860" cy="2017395"/>
            <wp:effectExtent l="19050" t="0" r="8890" b="0"/>
            <wp:wrapThrough wrapText="bothSides">
              <wp:wrapPolygon edited="0">
                <wp:start x="5846" y="0"/>
                <wp:lineTo x="4715" y="204"/>
                <wp:lineTo x="2640" y="2448"/>
                <wp:lineTo x="3017" y="6527"/>
                <wp:lineTo x="1509" y="7547"/>
                <wp:lineTo x="-189" y="9382"/>
                <wp:lineTo x="-189" y="19785"/>
                <wp:lineTo x="1320" y="21416"/>
                <wp:lineTo x="1509" y="21416"/>
                <wp:lineTo x="13767" y="21416"/>
                <wp:lineTo x="13956" y="21416"/>
                <wp:lineTo x="15464" y="19581"/>
                <wp:lineTo x="16973" y="16317"/>
                <wp:lineTo x="19048" y="13258"/>
                <wp:lineTo x="19236" y="13054"/>
                <wp:lineTo x="18859" y="10810"/>
                <wp:lineTo x="17350" y="6527"/>
                <wp:lineTo x="19991" y="3263"/>
                <wp:lineTo x="21688" y="612"/>
                <wp:lineTo x="21688" y="0"/>
                <wp:lineTo x="5846" y="0"/>
              </wp:wrapPolygon>
            </wp:wrapThrough>
            <wp:docPr id="15" name="Imagem 10" descr="A LUTA PELA SOBREVIVÊNCIA DOS ABORÍGENES AUSTRALIANOS - Revista mistérios  de Orunm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UTA PELA SOBREVIVÊNCIA DOS ABORÍGENES AUSTRALIANOS - Revista mistérios  de Orunmila"/>
                    <pic:cNvPicPr>
                      <a:picLocks noChangeAspect="1" noChangeArrowheads="1"/>
                    </pic:cNvPicPr>
                  </pic:nvPicPr>
                  <pic:blipFill>
                    <a:blip r:embed="rId24" cstate="print"/>
                    <a:srcRect/>
                    <a:stretch>
                      <a:fillRect/>
                    </a:stretch>
                  </pic:blipFill>
                  <pic:spPr bwMode="auto">
                    <a:xfrm>
                      <a:off x="0" y="0"/>
                      <a:ext cx="2181860" cy="2017395"/>
                    </a:xfrm>
                    <a:prstGeom prst="rect">
                      <a:avLst/>
                    </a:prstGeom>
                    <a:noFill/>
                    <a:ln w="9525">
                      <a:noFill/>
                      <a:miter lim="800000"/>
                      <a:headEnd/>
                      <a:tailEnd/>
                    </a:ln>
                  </pic:spPr>
                </pic:pic>
              </a:graphicData>
            </a:graphic>
          </wp:anchor>
        </w:drawing>
      </w:r>
      <w:r>
        <w:rPr>
          <w:noProof/>
          <w:lang w:eastAsia="pt-BR" w:bidi="ar-SA"/>
        </w:rPr>
        <w:drawing>
          <wp:inline distT="0" distB="0" distL="0" distR="0">
            <wp:extent cx="2538095" cy="2506980"/>
            <wp:effectExtent l="19050" t="0" r="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538095" cy="2506980"/>
                    </a:xfrm>
                    <a:prstGeom prst="rect">
                      <a:avLst/>
                    </a:prstGeom>
                    <a:noFill/>
                    <a:ln w="9525">
                      <a:noFill/>
                      <a:miter lim="800000"/>
                      <a:headEnd/>
                      <a:tailEnd/>
                    </a:ln>
                  </pic:spPr>
                </pic:pic>
              </a:graphicData>
            </a:graphic>
          </wp:inline>
        </w:drawing>
      </w:r>
      <w:r>
        <w:tab/>
      </w:r>
    </w:p>
    <w:p w:rsidR="004B1110" w:rsidRDefault="004B1110" w:rsidP="004B1110">
      <w:pPr>
        <w:pStyle w:val="texto-IEIJ"/>
        <w:jc w:val="both"/>
        <w:rPr>
          <w:szCs w:val="40"/>
        </w:rPr>
      </w:pPr>
    </w:p>
    <w:p w:rsidR="004B1110" w:rsidRPr="002103AE" w:rsidRDefault="000D6174" w:rsidP="002103AE">
      <w:pPr>
        <w:pStyle w:val="texto-IEIJ"/>
        <w:jc w:val="both"/>
      </w:pPr>
      <w:r w:rsidRPr="002103AE">
        <w:t xml:space="preserve">Questão </w:t>
      </w:r>
      <w:proofErr w:type="gramStart"/>
      <w:r w:rsidRPr="002103AE">
        <w:t>5</w:t>
      </w:r>
      <w:proofErr w:type="gramEnd"/>
    </w:p>
    <w:p w:rsidR="000D6174" w:rsidRDefault="002103AE" w:rsidP="002103AE">
      <w:pPr>
        <w:pStyle w:val="texto-IEIJ"/>
        <w:jc w:val="both"/>
        <w:rPr>
          <w:szCs w:val="37"/>
          <w:shd w:val="clear" w:color="auto" w:fill="FFFFFF"/>
        </w:rPr>
      </w:pPr>
      <w:r w:rsidRPr="002103AE">
        <w:tab/>
      </w:r>
      <w:r w:rsidRPr="002103AE">
        <w:rPr>
          <w:szCs w:val="37"/>
          <w:shd w:val="clear" w:color="auto" w:fill="FFFFFF"/>
        </w:rPr>
        <w:t>Abra as janelas, sinta o vento, observe o céu, escute os pássaros, procure pelas árvores da vizinhança.</w:t>
      </w:r>
      <w:r>
        <w:rPr>
          <w:szCs w:val="37"/>
          <w:shd w:val="clear" w:color="auto" w:fill="FFFFFF"/>
        </w:rPr>
        <w:t xml:space="preserve"> </w:t>
      </w:r>
    </w:p>
    <w:p w:rsidR="002103AE" w:rsidRDefault="002103AE" w:rsidP="002103AE">
      <w:pPr>
        <w:pStyle w:val="texto-IEIJ"/>
        <w:jc w:val="both"/>
        <w:rPr>
          <w:szCs w:val="37"/>
          <w:shd w:val="clear" w:color="auto" w:fill="FFFFFF"/>
        </w:rPr>
      </w:pPr>
      <w:r>
        <w:rPr>
          <w:szCs w:val="37"/>
          <w:shd w:val="clear" w:color="auto" w:fill="FFFFFF"/>
        </w:rPr>
        <w:tab/>
        <w:t>Escolha uma das atividades:</w:t>
      </w:r>
    </w:p>
    <w:p w:rsidR="002103AE" w:rsidRDefault="002103AE" w:rsidP="002103AE">
      <w:pPr>
        <w:pStyle w:val="texto-IEIJ"/>
        <w:jc w:val="both"/>
        <w:rPr>
          <w:szCs w:val="37"/>
          <w:shd w:val="clear" w:color="auto" w:fill="FFFFFF"/>
        </w:rPr>
      </w:pPr>
      <w:r>
        <w:rPr>
          <w:szCs w:val="37"/>
          <w:shd w:val="clear" w:color="auto" w:fill="FFFFFF"/>
        </w:rPr>
        <w:t>- faça um desenho de observação da árvore que você vê OU</w:t>
      </w:r>
    </w:p>
    <w:p w:rsidR="002103AE" w:rsidRDefault="002103AE" w:rsidP="002103AE">
      <w:pPr>
        <w:pStyle w:val="texto-IEIJ"/>
        <w:jc w:val="both"/>
        <w:rPr>
          <w:szCs w:val="37"/>
          <w:shd w:val="clear" w:color="auto" w:fill="FFFFFF"/>
        </w:rPr>
      </w:pPr>
      <w:r>
        <w:rPr>
          <w:szCs w:val="37"/>
          <w:shd w:val="clear" w:color="auto" w:fill="FFFFFF"/>
        </w:rPr>
        <w:t xml:space="preserve">- faça uma </w:t>
      </w:r>
      <w:proofErr w:type="spellStart"/>
      <w:r>
        <w:rPr>
          <w:szCs w:val="37"/>
          <w:shd w:val="clear" w:color="auto" w:fill="FFFFFF"/>
        </w:rPr>
        <w:t>selfie</w:t>
      </w:r>
      <w:proofErr w:type="spellEnd"/>
      <w:r>
        <w:rPr>
          <w:szCs w:val="37"/>
          <w:shd w:val="clear" w:color="auto" w:fill="FFFFFF"/>
        </w:rPr>
        <w:t xml:space="preserve"> junto à árvore e cole-a aqui. </w:t>
      </w:r>
    </w:p>
    <w:p w:rsidR="002103AE" w:rsidRPr="002103AE" w:rsidRDefault="002103AE" w:rsidP="002103AE">
      <w:pPr>
        <w:pStyle w:val="texto-IEIJ"/>
        <w:jc w:val="both"/>
      </w:pPr>
      <w:r>
        <w:rPr>
          <w:noProof/>
          <w:lang w:eastAsia="pt-BR" w:bidi="ar-SA"/>
        </w:rPr>
        <w:drawing>
          <wp:inline distT="0" distB="0" distL="0" distR="0">
            <wp:extent cx="5833110" cy="3909695"/>
            <wp:effectExtent l="19050" t="0" r="0" b="0"/>
            <wp:docPr id="20" name="Imagem 13" descr="https://media.gettyimages.com/photos/antique-photography-border-picture-id471076571?k=6&amp;m=471076571&amp;s=612x612&amp;w=0&amp;h=ujRsJWu8OVR_64XwOKNIxc5VO4waO4aMRAJ0jN38V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gettyimages.com/photos/antique-photography-border-picture-id471076571?k=6&amp;m=471076571&amp;s=612x612&amp;w=0&amp;h=ujRsJWu8OVR_64XwOKNIxc5VO4waO4aMRAJ0jN38Vyk="/>
                    <pic:cNvPicPr>
                      <a:picLocks noChangeAspect="1" noChangeArrowheads="1"/>
                    </pic:cNvPicPr>
                  </pic:nvPicPr>
                  <pic:blipFill>
                    <a:blip r:embed="rId26" cstate="print"/>
                    <a:srcRect/>
                    <a:stretch>
                      <a:fillRect/>
                    </a:stretch>
                  </pic:blipFill>
                  <pic:spPr bwMode="auto">
                    <a:xfrm>
                      <a:off x="0" y="0"/>
                      <a:ext cx="5833110" cy="3909695"/>
                    </a:xfrm>
                    <a:prstGeom prst="rect">
                      <a:avLst/>
                    </a:prstGeom>
                    <a:noFill/>
                    <a:ln w="9525">
                      <a:noFill/>
                      <a:miter lim="800000"/>
                      <a:headEnd/>
                      <a:tailEnd/>
                    </a:ln>
                  </pic:spPr>
                </pic:pic>
              </a:graphicData>
            </a:graphic>
          </wp:inline>
        </w:drawing>
      </w:r>
    </w:p>
    <w:sectPr w:rsidR="002103AE" w:rsidRPr="002103AE" w:rsidSect="00037E86">
      <w:headerReference w:type="default" r:id="rId27"/>
      <w:headerReference w:type="first" r:id="rId2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1F4" w:rsidRDefault="000A11F4">
      <w:r>
        <w:separator/>
      </w:r>
    </w:p>
  </w:endnote>
  <w:endnote w:type="continuationSeparator" w:id="0">
    <w:p w:rsidR="000A11F4" w:rsidRDefault="000A11F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1F4" w:rsidRDefault="000A11F4">
      <w:r>
        <w:separator/>
      </w:r>
    </w:p>
  </w:footnote>
  <w:footnote w:type="continuationSeparator" w:id="0">
    <w:p w:rsidR="000A11F4" w:rsidRDefault="000A11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F3D62">
            <w:rPr>
              <w:rFonts w:asciiTheme="minorHAnsi" w:hAnsiTheme="minorHAnsi"/>
              <w:noProof/>
              <w:lang w:eastAsia="pt-BR" w:bidi="ar-SA"/>
            </w:rPr>
            <w:t>7</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4B1110">
            <w:rPr>
              <w:rFonts w:asciiTheme="minorHAnsi" w:hAnsiTheme="minorHAnsi"/>
              <w:b/>
              <w:noProof/>
              <w:lang w:eastAsia="pt-BR" w:bidi="ar-SA"/>
            </w:rPr>
            <w:t>2</w:t>
          </w:r>
        </w:p>
      </w:tc>
      <w:tc>
        <w:tcPr>
          <w:tcW w:w="2268" w:type="dxa"/>
          <w:tcBorders>
            <w:top w:val="single" w:sz="4" w:space="0" w:color="auto"/>
          </w:tcBorders>
          <w:vAlign w:val="bottom"/>
        </w:tcPr>
        <w:p w:rsidR="00943633" w:rsidRPr="00342091" w:rsidRDefault="00AF3D62" w:rsidP="000234B7">
          <w:pPr>
            <w:tabs>
              <w:tab w:val="left" w:pos="7371"/>
            </w:tabs>
            <w:spacing w:before="40"/>
            <w:rPr>
              <w:rFonts w:asciiTheme="minorHAnsi" w:hAnsiTheme="minorHAnsi"/>
              <w:b/>
              <w:noProof/>
              <w:lang w:eastAsia="pt-BR" w:bidi="ar-SA"/>
            </w:rPr>
          </w:pPr>
          <w:r>
            <w:rPr>
              <w:rFonts w:asciiTheme="minorHAnsi" w:hAnsiTheme="minorHAnsi"/>
              <w:b/>
              <w:noProof/>
              <w:lang w:eastAsia="pt-BR" w:bidi="ar-SA"/>
            </w:rPr>
            <w:t>Grupo 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402BE"/>
    <w:multiLevelType w:val="hybridMultilevel"/>
    <w:tmpl w:val="7ECCF69C"/>
    <w:lvl w:ilvl="0" w:tplc="DA44EE7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E4A409C"/>
    <w:multiLevelType w:val="hybridMultilevel"/>
    <w:tmpl w:val="3BD614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6F66884"/>
    <w:multiLevelType w:val="multilevel"/>
    <w:tmpl w:val="BE1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45F5C"/>
    <w:multiLevelType w:val="hybridMultilevel"/>
    <w:tmpl w:val="1042003C"/>
    <w:lvl w:ilvl="0" w:tplc="BEFA202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2EB05BEE"/>
    <w:multiLevelType w:val="hybridMultilevel"/>
    <w:tmpl w:val="4F0CFB7E"/>
    <w:lvl w:ilvl="0" w:tplc="3CD2BB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6">
    <w:nsid w:val="4D02099F"/>
    <w:multiLevelType w:val="hybridMultilevel"/>
    <w:tmpl w:val="B024D5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232CC7"/>
    <w:multiLevelType w:val="hybridMultilevel"/>
    <w:tmpl w:val="3F340B30"/>
    <w:lvl w:ilvl="0" w:tplc="338602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494E02"/>
    <w:multiLevelType w:val="hybridMultilevel"/>
    <w:tmpl w:val="BF5CA1F0"/>
    <w:lvl w:ilvl="0" w:tplc="79FC4B00">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2"/>
  </w:num>
  <w:num w:numId="4">
    <w:abstractNumId w:val="0"/>
  </w:num>
  <w:num w:numId="5">
    <w:abstractNumId w:val="19"/>
  </w:num>
  <w:num w:numId="6">
    <w:abstractNumId w:val="37"/>
  </w:num>
  <w:num w:numId="7">
    <w:abstractNumId w:val="20"/>
  </w:num>
  <w:num w:numId="8">
    <w:abstractNumId w:val="34"/>
  </w:num>
  <w:num w:numId="9">
    <w:abstractNumId w:val="8"/>
  </w:num>
  <w:num w:numId="10">
    <w:abstractNumId w:val="31"/>
  </w:num>
  <w:num w:numId="11">
    <w:abstractNumId w:val="9"/>
  </w:num>
  <w:num w:numId="12">
    <w:abstractNumId w:val="35"/>
  </w:num>
  <w:num w:numId="13">
    <w:abstractNumId w:val="21"/>
  </w:num>
  <w:num w:numId="14">
    <w:abstractNumId w:val="28"/>
  </w:num>
  <w:num w:numId="15">
    <w:abstractNumId w:val="6"/>
  </w:num>
  <w:num w:numId="16">
    <w:abstractNumId w:val="29"/>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23"/>
  </w:num>
  <w:num w:numId="20">
    <w:abstractNumId w:val="25"/>
  </w:num>
  <w:num w:numId="21">
    <w:abstractNumId w:val="33"/>
  </w:num>
  <w:num w:numId="22">
    <w:abstractNumId w:val="10"/>
  </w:num>
  <w:num w:numId="23">
    <w:abstractNumId w:val="3"/>
  </w:num>
  <w:num w:numId="24">
    <w:abstractNumId w:val="32"/>
  </w:num>
  <w:num w:numId="25">
    <w:abstractNumId w:val="7"/>
  </w:num>
  <w:num w:numId="26">
    <w:abstractNumId w:val="24"/>
  </w:num>
  <w:num w:numId="27">
    <w:abstractNumId w:val="30"/>
  </w:num>
  <w:num w:numId="28">
    <w:abstractNumId w:val="14"/>
  </w:num>
  <w:num w:numId="29">
    <w:abstractNumId w:val="17"/>
  </w:num>
  <w:num w:numId="30">
    <w:abstractNumId w:val="11"/>
  </w:num>
  <w:num w:numId="31">
    <w:abstractNumId w:val="4"/>
  </w:num>
  <w:num w:numId="32">
    <w:abstractNumId w:val="15"/>
  </w:num>
  <w:num w:numId="33">
    <w:abstractNumId w:val="13"/>
  </w:num>
  <w:num w:numId="34">
    <w:abstractNumId w:val="27"/>
  </w:num>
  <w:num w:numId="35">
    <w:abstractNumId w:val="12"/>
  </w:num>
  <w:num w:numId="36">
    <w:abstractNumId w:val="16"/>
  </w:num>
  <w:num w:numId="37">
    <w:abstractNumId w:val="26"/>
  </w:num>
  <w:num w:numId="38">
    <w:abstractNumId w:val="3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9442">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5110"/>
    <w:rsid w:val="000C544D"/>
    <w:rsid w:val="000C616A"/>
    <w:rsid w:val="000C6D95"/>
    <w:rsid w:val="000C708A"/>
    <w:rsid w:val="000D6174"/>
    <w:rsid w:val="000E0345"/>
    <w:rsid w:val="000E0D5B"/>
    <w:rsid w:val="000E3081"/>
    <w:rsid w:val="000E3894"/>
    <w:rsid w:val="000E6381"/>
    <w:rsid w:val="000E7F1B"/>
    <w:rsid w:val="000F0342"/>
    <w:rsid w:val="000F1D9A"/>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03AE"/>
    <w:rsid w:val="00211BEC"/>
    <w:rsid w:val="0021240D"/>
    <w:rsid w:val="00212449"/>
    <w:rsid w:val="00214501"/>
    <w:rsid w:val="00215B8F"/>
    <w:rsid w:val="00222686"/>
    <w:rsid w:val="002251AE"/>
    <w:rsid w:val="0022672F"/>
    <w:rsid w:val="00227E79"/>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1245"/>
    <w:rsid w:val="002B4046"/>
    <w:rsid w:val="002B4ACD"/>
    <w:rsid w:val="002B4EE5"/>
    <w:rsid w:val="002C0D54"/>
    <w:rsid w:val="002C3A30"/>
    <w:rsid w:val="002C786D"/>
    <w:rsid w:val="002D26D9"/>
    <w:rsid w:val="002D341C"/>
    <w:rsid w:val="002D4898"/>
    <w:rsid w:val="002D51FE"/>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A94"/>
    <w:rsid w:val="003D6A1C"/>
    <w:rsid w:val="003E0073"/>
    <w:rsid w:val="003E04E1"/>
    <w:rsid w:val="003E20D5"/>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A74"/>
    <w:rsid w:val="006551E5"/>
    <w:rsid w:val="00655C9C"/>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3CB4"/>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6095"/>
    <w:rsid w:val="00747EA3"/>
    <w:rsid w:val="007534F0"/>
    <w:rsid w:val="00753C66"/>
    <w:rsid w:val="00761732"/>
    <w:rsid w:val="007622C1"/>
    <w:rsid w:val="00763BAE"/>
    <w:rsid w:val="00764B6F"/>
    <w:rsid w:val="00767970"/>
    <w:rsid w:val="007707ED"/>
    <w:rsid w:val="00775C60"/>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07AA2"/>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4A4"/>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C7ACE"/>
    <w:rsid w:val="00AD3ABE"/>
    <w:rsid w:val="00AD74C7"/>
    <w:rsid w:val="00AE09FC"/>
    <w:rsid w:val="00AE1A1B"/>
    <w:rsid w:val="00AF0513"/>
    <w:rsid w:val="00AF08A1"/>
    <w:rsid w:val="00AF3D62"/>
    <w:rsid w:val="00AF46A2"/>
    <w:rsid w:val="00AF5305"/>
    <w:rsid w:val="00AF659D"/>
    <w:rsid w:val="00AF6EA1"/>
    <w:rsid w:val="00AF7745"/>
    <w:rsid w:val="00AF7F84"/>
    <w:rsid w:val="00B01C05"/>
    <w:rsid w:val="00B03161"/>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4B24"/>
    <w:rsid w:val="00B6645A"/>
    <w:rsid w:val="00B73E09"/>
    <w:rsid w:val="00B764A5"/>
    <w:rsid w:val="00B80060"/>
    <w:rsid w:val="00B80755"/>
    <w:rsid w:val="00B8123F"/>
    <w:rsid w:val="00B817D2"/>
    <w:rsid w:val="00B81BD0"/>
    <w:rsid w:val="00B821B9"/>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1162"/>
    <w:rsid w:val="00CD4D5C"/>
    <w:rsid w:val="00CD785C"/>
    <w:rsid w:val="00CE20CB"/>
    <w:rsid w:val="00CE20DA"/>
    <w:rsid w:val="00CE38E5"/>
    <w:rsid w:val="00CE5CAF"/>
    <w:rsid w:val="00CE6D2D"/>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3937"/>
    <w:rsid w:val="00E44F0F"/>
    <w:rsid w:val="00E52C8E"/>
    <w:rsid w:val="00E53F79"/>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EF484B"/>
    <w:rsid w:val="00F00C68"/>
    <w:rsid w:val="00F046A3"/>
    <w:rsid w:val="00F05E38"/>
    <w:rsid w:val="00F11CA8"/>
    <w:rsid w:val="00F147CB"/>
    <w:rsid w:val="00F151AB"/>
    <w:rsid w:val="00F1774D"/>
    <w:rsid w:val="00F17F5A"/>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9442">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B0FF7"/>
    <w:pPr>
      <w:keepNext w:val="0"/>
      <w:spacing w:before="0" w:line="360" w:lineRule="auto"/>
      <w:jc w:val="left"/>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rsemfim.com.br/wp-content/uploads/2020/09/cobra-c%C3%B3pia.jpg" TargetMode="External"/><Relationship Id="rId18" Type="http://schemas.openxmlformats.org/officeDocument/2006/relationships/hyperlink" Target="https://marsemfim.com.br/ilhas-artificiais-na-amazonia-sao-descobertas/"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arsemfim.com.br/geoglifos-na-amazonia-destruidos-para-dar-lugar-a-pasto/"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marsemfim.com.br/tartarugas-gigantes-viviam-na-amazonia-pre-historica/" TargetMode="External"/><Relationship Id="rId20" Type="http://schemas.openxmlformats.org/officeDocument/2006/relationships/hyperlink" Target="https://marsemfim.com.br/wp-content/uploads/2020/09/potes-marajoaras-.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marsemfim.com.br/florestas-tropicais-conheca-as-maiores-do-mundo/" TargetMode="External"/><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hyperlink" Target="https://www.youtube.com/c/associacaobrasileiradeplanetarios" TargetMode="External"/><Relationship Id="rId19" Type="http://schemas.openxmlformats.org/officeDocument/2006/relationships/hyperlink" Target="https://www.historiadomundo.com.br/pre-historia/neandertal.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marsemfim.com.br/wp-content/uploads/2020/09/amazonia-geoglifos-c%C3%B3pia.jpg" TargetMode="External"/><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AC34-1066-4CB0-B022-46B30E364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20</TotalTime>
  <Pages>5</Pages>
  <Words>879</Words>
  <Characters>4752</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2020-09-15T00:22:00Z</cp:lastPrinted>
  <dcterms:created xsi:type="dcterms:W3CDTF">2020-09-21T14:43:00Z</dcterms:created>
  <dcterms:modified xsi:type="dcterms:W3CDTF">2020-09-21T14:43:00Z</dcterms:modified>
</cp:coreProperties>
</file>