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40071" w:rsidRDefault="00F506F1">
      <w:pPr>
        <w:pStyle w:val="normal0"/>
        <w:keepNext/>
        <w:pBdr>
          <w:top w:val="none" w:sz="0" w:space="0" w:color="000000"/>
          <w:left w:val="none" w:sz="0" w:space="0" w:color="000000"/>
          <w:bottom w:val="single" w:sz="18" w:space="1" w:color="000000"/>
          <w:right w:val="none" w:sz="0" w:space="0" w:color="000000"/>
          <w:between w:val="nil"/>
        </w:pBdr>
        <w:spacing w:before="0" w:after="120"/>
        <w:jc w:val="center"/>
        <w:rPr>
          <w:b/>
          <w:smallCaps/>
          <w:color w:val="383838"/>
          <w:sz w:val="48"/>
          <w:szCs w:val="48"/>
        </w:rPr>
      </w:pPr>
      <w:r>
        <w:rPr>
          <w:b/>
          <w:smallCaps/>
          <w:color w:val="383838"/>
          <w:sz w:val="48"/>
          <w:szCs w:val="48"/>
        </w:rPr>
        <w:t>R$ 200,00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BC lança nota de R$ 200, com o lobo-</w:t>
      </w:r>
      <w:proofErr w:type="gramStart"/>
      <w:r>
        <w:rPr>
          <w:b/>
          <w:color w:val="000000"/>
          <w:sz w:val="36"/>
          <w:szCs w:val="36"/>
        </w:rPr>
        <w:t>guará</w:t>
      </w:r>
      <w:proofErr w:type="gramEnd"/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  <w:shd w:val="clear" w:color="auto" w:fill="FAFAFA"/>
        </w:rPr>
      </w:pP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color w:val="000000"/>
          <w:sz w:val="28"/>
          <w:szCs w:val="28"/>
          <w:shd w:val="clear" w:color="auto" w:fill="FAFAFA"/>
        </w:rPr>
      </w:pPr>
      <w:r>
        <w:rPr>
          <w:color w:val="000000"/>
          <w:sz w:val="28"/>
          <w:szCs w:val="28"/>
          <w:shd w:val="clear" w:color="auto" w:fill="FAFAFA"/>
        </w:rPr>
        <w:t>O </w:t>
      </w:r>
      <w:hyperlink r:id="rId7">
        <w:r>
          <w:rPr>
            <w:color w:val="000000"/>
            <w:sz w:val="28"/>
            <w:szCs w:val="28"/>
            <w:shd w:val="clear" w:color="auto" w:fill="FAFAFA"/>
          </w:rPr>
          <w:t>Banco Central</w:t>
        </w:r>
      </w:hyperlink>
      <w:r>
        <w:rPr>
          <w:color w:val="000000"/>
          <w:sz w:val="28"/>
          <w:szCs w:val="28"/>
          <w:shd w:val="clear" w:color="auto" w:fill="FAFAFA"/>
        </w:rPr>
        <w:t xml:space="preserve"> lançou nesta quarta-feira, </w:t>
      </w:r>
      <w:proofErr w:type="gramStart"/>
      <w:r>
        <w:rPr>
          <w:color w:val="000000"/>
          <w:sz w:val="28"/>
          <w:szCs w:val="28"/>
          <w:shd w:val="clear" w:color="auto" w:fill="FAFAFA"/>
        </w:rPr>
        <w:t>2</w:t>
      </w:r>
      <w:proofErr w:type="gramEnd"/>
      <w:r>
        <w:rPr>
          <w:color w:val="000000"/>
          <w:sz w:val="28"/>
          <w:szCs w:val="28"/>
          <w:shd w:val="clear" w:color="auto" w:fill="FAFAFA"/>
        </w:rPr>
        <w:t xml:space="preserve"> de setembro, a nova nota de R$ 200, que vem com a imagem do lobo-guará.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 nota tem tons de cinza, azul e sépia</w:t>
      </w:r>
      <w:r>
        <w:rPr>
          <w:color w:val="000000"/>
          <w:sz w:val="28"/>
          <w:szCs w:val="28"/>
        </w:rPr>
        <w:t> e traz o animal lobo-guará porque ele ficou entre os animais mais votados em uma pesquisa feita pelo Banco Central na época do lançamento das notas de R$ 2 e R$20, que tem a ilustração de uma tartaruga-marinha e do mi</w:t>
      </w:r>
      <w:r>
        <w:rPr>
          <w:color w:val="000000"/>
          <w:sz w:val="28"/>
          <w:szCs w:val="28"/>
        </w:rPr>
        <w:t>co-leão-dourado.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cédula tem </w:t>
      </w:r>
      <w:r>
        <w:rPr>
          <w:color w:val="000000"/>
          <w:sz w:val="28"/>
          <w:szCs w:val="28"/>
          <w:shd w:val="clear" w:color="auto" w:fill="F9F9F9"/>
        </w:rPr>
        <w:t xml:space="preserve">6,5 cm x 14,2 cm, </w:t>
      </w:r>
      <w:r>
        <w:rPr>
          <w:color w:val="000000"/>
          <w:sz w:val="28"/>
          <w:szCs w:val="28"/>
        </w:rPr>
        <w:t>as mesmas dimensões que a nota de R$ 20, o que facilitou sua produção.</w:t>
      </w: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Elementos de segurança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Marca d’água e quebra cabeça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Assim como todas as cédulas da família do real, a nota de 200 reais também tem a marca d’água. Além disso, tem uma espécie de “quebra-cabeça”, que forma o número 200 no lado superior esquerdo.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3780" cy="263715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63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000000"/>
          <w:sz w:val="28"/>
          <w:szCs w:val="28"/>
        </w:rPr>
      </w:pP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Número que muda de cor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Repare na barra brilhante que parece </w:t>
      </w:r>
      <w:r>
        <w:rPr>
          <w:color w:val="000000"/>
          <w:sz w:val="28"/>
          <w:szCs w:val="28"/>
        </w:rPr>
        <w:t>rolar pelo número e na mudança de cor, do azul para o verde.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3780" cy="240284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40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Número escondido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Coloque a nota na altura dos olhos, na posição horizontal, em um local bem iluminado, e veja o número 200 que está oculto no lado direito da cédula.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13780" cy="246697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Alto-relevo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Passe os dedos sobre o lobo-guará, o número de 200 e sobre a inscrição Banco Central do Brasil no lado da nota em que aparece o animal. No lado da efígie da República, o relevo está na inscrição República </w:t>
      </w:r>
      <w:proofErr w:type="gramStart"/>
      <w:r>
        <w:rPr>
          <w:color w:val="000000"/>
          <w:sz w:val="28"/>
          <w:szCs w:val="28"/>
        </w:rPr>
        <w:t>Federativa</w:t>
      </w:r>
      <w:proofErr w:type="gramEnd"/>
      <w:r>
        <w:rPr>
          <w:color w:val="000000"/>
          <w:sz w:val="28"/>
          <w:szCs w:val="28"/>
        </w:rPr>
        <w:t xml:space="preserve"> do Brasil, nas flores e folhas nas later</w:t>
      </w:r>
      <w:r>
        <w:rPr>
          <w:color w:val="000000"/>
          <w:sz w:val="28"/>
          <w:szCs w:val="28"/>
        </w:rPr>
        <w:t>ais e em “200 reais”.</w:t>
      </w: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4575" cy="229679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296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z w:val="28"/>
          <w:szCs w:val="28"/>
        </w:rPr>
      </w:pP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PROPOSTA</w:t>
      </w:r>
    </w:p>
    <w:p w:rsidR="00540071" w:rsidRDefault="00F506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Elabore uma ficha técnica da cédula de R$200,00. </w:t>
      </w: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1065"/>
        <w:jc w:val="both"/>
        <w:rPr>
          <w:color w:val="000000"/>
          <w:sz w:val="28"/>
          <w:szCs w:val="28"/>
        </w:rPr>
      </w:pPr>
    </w:p>
    <w:tbl>
      <w:tblPr>
        <w:tblStyle w:val="a"/>
        <w:tblW w:w="9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60"/>
        <w:gridCol w:w="7119"/>
      </w:tblGrid>
      <w:tr w:rsidR="00540071">
        <w:tc>
          <w:tcPr>
            <w:tcW w:w="9779" w:type="dxa"/>
            <w:gridSpan w:val="2"/>
          </w:tcPr>
          <w:p w:rsidR="00540071" w:rsidRDefault="00F506F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Cédula de R$ 200,00</w:t>
            </w:r>
          </w:p>
        </w:tc>
      </w:tr>
      <w:tr w:rsidR="00540071">
        <w:tc>
          <w:tcPr>
            <w:tcW w:w="2660" w:type="dxa"/>
          </w:tcPr>
          <w:p w:rsidR="00540071" w:rsidRDefault="00F506F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Cor(</w:t>
            </w:r>
            <w:proofErr w:type="spellStart"/>
            <w:proofErr w:type="gramEnd"/>
            <w:r>
              <w:rPr>
                <w:color w:val="000000"/>
                <w:sz w:val="28"/>
                <w:szCs w:val="28"/>
              </w:rPr>
              <w:t>es</w:t>
            </w:r>
            <w:proofErr w:type="spellEnd"/>
            <w:r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7119" w:type="dxa"/>
          </w:tcPr>
          <w:p w:rsidR="00540071" w:rsidRDefault="005400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40071" w:rsidRDefault="005400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40071">
        <w:tc>
          <w:tcPr>
            <w:tcW w:w="2660" w:type="dxa"/>
          </w:tcPr>
          <w:p w:rsidR="00540071" w:rsidRDefault="00F506F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Data de lançamento</w:t>
            </w:r>
          </w:p>
        </w:tc>
        <w:tc>
          <w:tcPr>
            <w:tcW w:w="7119" w:type="dxa"/>
          </w:tcPr>
          <w:p w:rsidR="00540071" w:rsidRDefault="005400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40071" w:rsidRDefault="005400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40071">
        <w:tc>
          <w:tcPr>
            <w:tcW w:w="2660" w:type="dxa"/>
          </w:tcPr>
          <w:p w:rsidR="00540071" w:rsidRDefault="00F506F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Animal símbolo</w:t>
            </w:r>
          </w:p>
        </w:tc>
        <w:tc>
          <w:tcPr>
            <w:tcW w:w="7119" w:type="dxa"/>
          </w:tcPr>
          <w:p w:rsidR="00540071" w:rsidRDefault="005400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540071" w:rsidRDefault="0054007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F506F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Liste os elementos de segurança da nova cédula. </w:t>
      </w:r>
    </w:p>
    <w:p w:rsidR="00540071" w:rsidRDefault="0054007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8"/>
          <w:szCs w:val="28"/>
        </w:rPr>
      </w:pPr>
    </w:p>
    <w:p w:rsidR="00540071" w:rsidRDefault="00F506F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33779" cy="7663349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3779" cy="766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40071" w:rsidSect="005400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/>
      <w:pgMar w:top="1134" w:right="1134" w:bottom="1134" w:left="1134" w:header="425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6F1" w:rsidRDefault="00F506F1" w:rsidP="00540071">
      <w:pPr>
        <w:spacing w:before="0"/>
      </w:pPr>
      <w:r>
        <w:separator/>
      </w:r>
    </w:p>
  </w:endnote>
  <w:endnote w:type="continuationSeparator" w:id="0">
    <w:p w:rsidR="00F506F1" w:rsidRDefault="00F506F1" w:rsidP="0054007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E09" w:rsidRDefault="00D47E0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E09" w:rsidRDefault="00D47E0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E09" w:rsidRDefault="00D47E0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6F1" w:rsidRDefault="00F506F1" w:rsidP="00540071">
      <w:pPr>
        <w:spacing w:before="0"/>
      </w:pPr>
      <w:r>
        <w:separator/>
      </w:r>
    </w:p>
  </w:footnote>
  <w:footnote w:type="continuationSeparator" w:id="0">
    <w:p w:rsidR="00F506F1" w:rsidRDefault="00F506F1" w:rsidP="00540071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7E09" w:rsidRDefault="00D47E0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71" w:rsidRDefault="00F506F1">
    <w:pPr>
      <w:pStyle w:val="normal0"/>
      <w:tabs>
        <w:tab w:val="left" w:pos="4820"/>
        <w:tab w:val="left" w:pos="7371"/>
      </w:tabs>
      <w:ind w:left="2835"/>
      <w:rPr>
        <w:b/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071" w:rsidRDefault="00D47E09">
    <w:pPr>
      <w:pStyle w:val="normal0"/>
      <w:pBdr>
        <w:top w:val="nil"/>
        <w:left w:val="nil"/>
        <w:bottom w:val="nil"/>
        <w:right w:val="nil"/>
        <w:between w:val="nil"/>
      </w:pBdr>
      <w:spacing w:before="0" w:line="276" w:lineRule="auto"/>
      <w:rPr>
        <w:color w:val="000000"/>
        <w:sz w:val="28"/>
        <w:szCs w:val="28"/>
      </w:rPr>
    </w:pPr>
    <w:r>
      <w:rPr>
        <w:noProof/>
        <w:color w:val="000000"/>
        <w:sz w:val="28"/>
        <w:szCs w:val="28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28575</wp:posOffset>
          </wp:positionH>
          <wp:positionV relativeFrom="page">
            <wp:posOffset>247650</wp:posOffset>
          </wp:positionV>
          <wp:extent cx="7400925" cy="1924050"/>
          <wp:effectExtent l="19050" t="0" r="9525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00925" cy="192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8358" w:type="dxa"/>
      <w:tblInd w:w="173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875"/>
      <w:gridCol w:w="2238"/>
      <w:gridCol w:w="2977"/>
      <w:gridCol w:w="2268"/>
    </w:tblGrid>
    <w:tr w:rsidR="00540071">
      <w:trPr>
        <w:trHeight w:val="397"/>
      </w:trPr>
      <w:tc>
        <w:tcPr>
          <w:tcW w:w="6091" w:type="dxa"/>
          <w:gridSpan w:val="3"/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</w:pPr>
          <w:r>
            <w:t>Instituto de Educação Infantil e Juvenil</w:t>
          </w:r>
        </w:p>
      </w:tc>
      <w:tc>
        <w:tcPr>
          <w:tcW w:w="2268" w:type="dxa"/>
          <w:vAlign w:val="bottom"/>
        </w:tcPr>
        <w:p w:rsidR="00540071" w:rsidRDefault="00540071">
          <w:pPr>
            <w:pStyle w:val="normal0"/>
            <w:tabs>
              <w:tab w:val="left" w:pos="7371"/>
            </w:tabs>
            <w:spacing w:before="40"/>
          </w:pPr>
        </w:p>
      </w:tc>
    </w:tr>
    <w:tr w:rsidR="00540071">
      <w:trPr>
        <w:trHeight w:val="375"/>
      </w:trPr>
      <w:tc>
        <w:tcPr>
          <w:tcW w:w="6091" w:type="dxa"/>
          <w:gridSpan w:val="3"/>
          <w:tcBorders>
            <w:bottom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</w:pPr>
          <w:r>
            <w:t>Primavera</w:t>
          </w:r>
          <w:r>
            <w:t xml:space="preserve">, 2020. Londrina,         de </w:t>
          </w:r>
        </w:p>
      </w:tc>
      <w:tc>
        <w:tcPr>
          <w:tcW w:w="2268" w:type="dxa"/>
          <w:vAlign w:val="bottom"/>
        </w:tcPr>
        <w:p w:rsidR="00540071" w:rsidRDefault="00540071">
          <w:pPr>
            <w:pStyle w:val="normal0"/>
            <w:tabs>
              <w:tab w:val="left" w:pos="7371"/>
            </w:tabs>
            <w:spacing w:before="40"/>
          </w:pPr>
        </w:p>
      </w:tc>
    </w:tr>
    <w:tr w:rsidR="00540071">
      <w:trPr>
        <w:trHeight w:val="300"/>
      </w:trPr>
      <w:tc>
        <w:tcPr>
          <w:tcW w:w="8359" w:type="dxa"/>
          <w:gridSpan w:val="4"/>
          <w:tcBorders>
            <w:bottom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</w:pPr>
          <w:r>
            <w:t>Nome:</w:t>
          </w:r>
        </w:p>
      </w:tc>
    </w:tr>
    <w:tr w:rsidR="00540071">
      <w:trPr>
        <w:trHeight w:val="397"/>
      </w:trPr>
      <w:tc>
        <w:tcPr>
          <w:tcW w:w="6091" w:type="dxa"/>
          <w:gridSpan w:val="3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540071" w:rsidRDefault="00540071">
          <w:pPr>
            <w:pStyle w:val="normal0"/>
            <w:tabs>
              <w:tab w:val="left" w:pos="7371"/>
            </w:tabs>
            <w:spacing w:before="40"/>
          </w:pPr>
        </w:p>
      </w:tc>
      <w:tc>
        <w:tcPr>
          <w:tcW w:w="2268" w:type="dxa"/>
          <w:tcBorders>
            <w:top w:val="single" w:sz="4" w:space="0" w:color="000000"/>
            <w:bottom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</w:pPr>
          <w:r>
            <w:t>Ano:</w:t>
          </w:r>
        </w:p>
      </w:tc>
    </w:tr>
    <w:tr w:rsidR="00540071">
      <w:trPr>
        <w:trHeight w:val="397"/>
      </w:trPr>
      <w:tc>
        <w:tcPr>
          <w:tcW w:w="87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  <w:rPr>
              <w:sz w:val="20"/>
              <w:szCs w:val="20"/>
            </w:rPr>
          </w:pPr>
          <w:r>
            <w:rPr>
              <w:sz w:val="20"/>
              <w:szCs w:val="20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</w:pPr>
          <w:r>
            <w:t xml:space="preserve">Início:                    Término:                    Total: </w:t>
          </w:r>
        </w:p>
      </w:tc>
    </w:tr>
    <w:tr w:rsidR="00540071">
      <w:trPr>
        <w:trHeight w:val="397"/>
      </w:trPr>
      <w:tc>
        <w:tcPr>
          <w:tcW w:w="876" w:type="dxa"/>
          <w:tcBorders>
            <w:top w:val="single" w:sz="4" w:space="0" w:color="000000"/>
          </w:tcBorders>
          <w:vAlign w:val="bottom"/>
        </w:tcPr>
        <w:p w:rsidR="00540071" w:rsidRDefault="00540071">
          <w:pPr>
            <w:pStyle w:val="normal0"/>
            <w:tabs>
              <w:tab w:val="left" w:pos="7371"/>
            </w:tabs>
            <w:spacing w:before="40"/>
          </w:pPr>
        </w:p>
      </w:tc>
      <w:tc>
        <w:tcPr>
          <w:tcW w:w="2238" w:type="dxa"/>
          <w:tcBorders>
            <w:top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</w:pPr>
          <w:r>
            <w:t>Edição 2</w:t>
          </w:r>
          <w:r>
            <w:t>1</w:t>
          </w:r>
          <w:r>
            <w:t xml:space="preserve"> </w:t>
          </w:r>
        </w:p>
      </w:tc>
      <w:tc>
        <w:tcPr>
          <w:tcW w:w="2977" w:type="dxa"/>
          <w:tcBorders>
            <w:top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  <w:rPr>
              <w:b/>
            </w:rPr>
          </w:pPr>
          <w:r>
            <w:rPr>
              <w:b/>
            </w:rPr>
            <w:t xml:space="preserve">Fase </w:t>
          </w:r>
          <w:proofErr w:type="gramStart"/>
          <w:r>
            <w:rPr>
              <w:b/>
            </w:rPr>
            <w:t>2</w:t>
          </w:r>
          <w:proofErr w:type="gramEnd"/>
        </w:p>
      </w:tc>
      <w:tc>
        <w:tcPr>
          <w:tcW w:w="2268" w:type="dxa"/>
          <w:tcBorders>
            <w:top w:val="single" w:sz="4" w:space="0" w:color="000000"/>
          </w:tcBorders>
          <w:vAlign w:val="bottom"/>
        </w:tcPr>
        <w:p w:rsidR="00540071" w:rsidRDefault="00F506F1">
          <w:pPr>
            <w:pStyle w:val="normal0"/>
            <w:tabs>
              <w:tab w:val="left" w:pos="7371"/>
            </w:tabs>
            <w:spacing w:before="40"/>
            <w:rPr>
              <w:b/>
            </w:rPr>
          </w:pPr>
          <w:r>
            <w:rPr>
              <w:b/>
            </w:rPr>
            <w:t>2º Ano</w:t>
          </w:r>
        </w:p>
      </w:tc>
    </w:tr>
  </w:tbl>
  <w:p w:rsidR="00540071" w:rsidRDefault="00F506F1">
    <w:pPr>
      <w:pStyle w:val="normal0"/>
      <w:tabs>
        <w:tab w:val="left" w:pos="7371"/>
      </w:tabs>
      <w:spacing w:before="40" w:line="360" w:lineRule="auto"/>
      <w:ind w:left="1134"/>
      <w:rPr>
        <w:b/>
        <w:color w:val="000000"/>
      </w:rPr>
    </w:pPr>
    <w:r>
      <w:rPr>
        <w:b/>
        <w:color w:val="00000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F1F95"/>
    <w:multiLevelType w:val="multilevel"/>
    <w:tmpl w:val="B9EABEA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40071"/>
    <w:rsid w:val="00540071"/>
    <w:rsid w:val="00D47E09"/>
    <w:rsid w:val="00F50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540071"/>
    <w:pPr>
      <w:keepNext/>
      <w:keepLines/>
      <w:spacing w:before="480"/>
      <w:outlineLvl w:val="0"/>
    </w:pPr>
    <w:rPr>
      <w:b/>
      <w:color w:val="2E75B5"/>
      <w:sz w:val="28"/>
      <w:szCs w:val="28"/>
    </w:rPr>
  </w:style>
  <w:style w:type="paragraph" w:styleId="Ttulo2">
    <w:name w:val="heading 2"/>
    <w:basedOn w:val="normal0"/>
    <w:next w:val="normal0"/>
    <w:rsid w:val="00540071"/>
    <w:pPr>
      <w:keepNext/>
      <w:keepLines/>
      <w:spacing w:before="200"/>
      <w:outlineLvl w:val="1"/>
    </w:pPr>
    <w:rPr>
      <w:b/>
      <w:color w:val="5B9BD5"/>
      <w:sz w:val="26"/>
      <w:szCs w:val="26"/>
    </w:rPr>
  </w:style>
  <w:style w:type="paragraph" w:styleId="Ttulo3">
    <w:name w:val="heading 3"/>
    <w:basedOn w:val="normal0"/>
    <w:next w:val="normal0"/>
    <w:rsid w:val="00540071"/>
    <w:pPr>
      <w:keepNext/>
      <w:keepLines/>
      <w:spacing w:before="200"/>
      <w:outlineLvl w:val="2"/>
    </w:pPr>
    <w:rPr>
      <w:b/>
      <w:color w:val="5B9BD5"/>
    </w:rPr>
  </w:style>
  <w:style w:type="paragraph" w:styleId="Ttulo4">
    <w:name w:val="heading 4"/>
    <w:basedOn w:val="normal0"/>
    <w:next w:val="normal0"/>
    <w:rsid w:val="00540071"/>
    <w:pPr>
      <w:widowControl/>
      <w:outlineLvl w:val="3"/>
    </w:pPr>
    <w:rPr>
      <w:rFonts w:ascii="Times New Roman" w:eastAsia="Times New Roman" w:hAnsi="Times New Roman" w:cs="Times New Roman"/>
      <w:b/>
    </w:rPr>
  </w:style>
  <w:style w:type="paragraph" w:styleId="Ttulo5">
    <w:name w:val="heading 5"/>
    <w:basedOn w:val="normal0"/>
    <w:next w:val="normal0"/>
    <w:rsid w:val="0054007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5400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540071"/>
  </w:style>
  <w:style w:type="table" w:customStyle="1" w:styleId="TableNormal">
    <w:name w:val="Table Normal"/>
    <w:rsid w:val="005400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54007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54007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4007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54007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47E0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7E0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D47E0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47E09"/>
  </w:style>
  <w:style w:type="paragraph" w:styleId="Rodap">
    <w:name w:val="footer"/>
    <w:basedOn w:val="Normal"/>
    <w:link w:val="RodapChar"/>
    <w:uiPriority w:val="99"/>
    <w:semiHidden/>
    <w:unhideWhenUsed/>
    <w:rsid w:val="00D47E0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D47E0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xame.com/noticias-sobre/banco-central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2020-10-06T20:21:00Z</dcterms:created>
  <dcterms:modified xsi:type="dcterms:W3CDTF">2020-10-06T20:21:00Z</dcterms:modified>
</cp:coreProperties>
</file>